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4" w:lineRule="exact"/>
        <w:ind w:firstLine="0" w:firstLineChars="0"/>
        <w:jc w:val="center"/>
        <w:rPr>
          <w:rFonts w:hint="eastAsia" w:ascii="Times New Roman" w:hAnsi="Times New Roman" w:eastAsia="方正小标宋简体" w:cs="方正小标宋简体"/>
          <w:color w:val="000000"/>
          <w:sz w:val="44"/>
          <w:szCs w:val="44"/>
        </w:rPr>
      </w:pPr>
      <w:bookmarkStart w:id="0" w:name="_bookmark0"/>
      <w:bookmarkEnd w:id="0"/>
    </w:p>
    <w:p>
      <w:pPr>
        <w:overflowPunct w:val="0"/>
        <w:adjustRightInd w:val="0"/>
        <w:snapToGrid w:val="0"/>
        <w:spacing w:line="574" w:lineRule="exact"/>
        <w:ind w:firstLine="0" w:firstLineChars="0"/>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郑州市生态环境行政处罚</w:t>
      </w:r>
    </w:p>
    <w:p>
      <w:pPr>
        <w:overflowPunct w:val="0"/>
        <w:adjustRightInd w:val="0"/>
        <w:snapToGrid w:val="0"/>
        <w:spacing w:line="574" w:lineRule="exact"/>
        <w:ind w:firstLine="0" w:firstLineChars="0"/>
        <w:jc w:val="center"/>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color w:val="000000"/>
          <w:sz w:val="44"/>
          <w:szCs w:val="44"/>
        </w:rPr>
        <w:t>裁量基准适用规则</w:t>
      </w:r>
    </w:p>
    <w:p>
      <w:pPr>
        <w:overflowPunct w:val="0"/>
        <w:adjustRightInd w:val="0"/>
        <w:snapToGrid w:val="0"/>
        <w:ind w:firstLine="640"/>
        <w:jc w:val="left"/>
        <w:rPr>
          <w:rFonts w:ascii="Times New Roman" w:hAnsi="Times New Roman" w:eastAsia="黑体" w:cs="Times New Roman"/>
          <w:bCs/>
          <w:szCs w:val="32"/>
        </w:rPr>
      </w:pPr>
    </w:p>
    <w:p>
      <w:pPr>
        <w:overflowPunct w:val="0"/>
        <w:adjustRightInd w:val="0"/>
        <w:snapToGrid w:val="0"/>
        <w:ind w:firstLine="640"/>
        <w:jc w:val="left"/>
        <w:rPr>
          <w:rFonts w:ascii="Times New Roman" w:hAnsi="Times New Roman" w:eastAsia="方正仿宋_GBK" w:cs="Times New Roman"/>
          <w:szCs w:val="32"/>
        </w:rPr>
      </w:pPr>
      <w:r>
        <w:rPr>
          <w:rFonts w:ascii="Times New Roman" w:hAnsi="Times New Roman" w:eastAsia="黑体" w:cs="Times New Roman"/>
          <w:szCs w:val="32"/>
        </w:rPr>
        <w:t>第一条</w:t>
      </w:r>
      <w:r>
        <w:rPr>
          <w:rFonts w:ascii="Times New Roman" w:hAnsi="Times New Roman" w:eastAsia="方正仿宋_GBK" w:cs="Times New Roman"/>
          <w:szCs w:val="32"/>
        </w:rPr>
        <w:t xml:space="preserve">  </w:t>
      </w:r>
      <w:r>
        <w:rPr>
          <w:rFonts w:hint="eastAsia" w:ascii="Times New Roman" w:hAnsi="Times New Roman" w:cs="仿宋_GB2312"/>
          <w:szCs w:val="32"/>
        </w:rPr>
        <w:t>为了规范全市生态环境部门行政处罚，公平、公正、合理行使裁量基准，保护公民、法人或者其他组织的合法权益，根据《中华人民共和国环境保护法》《中华人民共和国行政处罚法》《河南省人民政府关于规范行政处罚裁量权的若干意见》（豫政〔2008〕57号）《生态环境部关于进一步规范适用环境行政处罚自由裁量权的指导意见》（环执法〔2019〕42号）《河南省生态环境行政处罚裁量基准适用规则（修订）》《河南省生态环境行政处罚裁量基准》（豫环文〔2020〕177号）的有关规定，制定本规则。</w:t>
      </w:r>
    </w:p>
    <w:p>
      <w:pPr>
        <w:overflowPunct w:val="0"/>
        <w:adjustRightInd w:val="0"/>
        <w:snapToGrid w:val="0"/>
        <w:ind w:firstLine="640"/>
        <w:rPr>
          <w:rFonts w:ascii="Times New Roman" w:hAnsi="Times New Roman" w:cs="仿宋_GB2312"/>
          <w:szCs w:val="32"/>
        </w:rPr>
      </w:pPr>
      <w:r>
        <w:rPr>
          <w:rFonts w:ascii="Times New Roman" w:hAnsi="Times New Roman" w:eastAsia="黑体" w:cs="Times New Roman"/>
          <w:szCs w:val="32"/>
        </w:rPr>
        <w:t>第二条</w:t>
      </w:r>
      <w:r>
        <w:rPr>
          <w:rFonts w:ascii="Times New Roman" w:hAnsi="Times New Roman" w:eastAsia="方正仿宋_GBK" w:cs="Times New Roman"/>
          <w:szCs w:val="32"/>
        </w:rPr>
        <w:t xml:space="preserve">  </w:t>
      </w:r>
      <w:r>
        <w:rPr>
          <w:rFonts w:hint="eastAsia" w:ascii="Times New Roman" w:hAnsi="Times New Roman" w:cs="仿宋_GB2312"/>
          <w:szCs w:val="32"/>
        </w:rPr>
        <w:t>全市生态环境部门</w:t>
      </w:r>
      <w:r>
        <w:rPr>
          <w:rFonts w:hint="eastAsia" w:ascii="Times New Roman" w:hAnsi="Times New Roman" w:cs="仿宋_GB2312"/>
          <w:szCs w:val="32"/>
          <w:lang w:eastAsia="zh-CN"/>
        </w:rPr>
        <w:t>实施</w:t>
      </w:r>
      <w:r>
        <w:rPr>
          <w:rFonts w:hint="eastAsia" w:ascii="Times New Roman" w:hAnsi="Times New Roman" w:cs="仿宋_GB2312"/>
          <w:szCs w:val="32"/>
        </w:rPr>
        <w:t>行政处罚，应当参照本规则，合法、合理作出具体的行政处罚决定。</w:t>
      </w:r>
    </w:p>
    <w:p>
      <w:pPr>
        <w:overflowPunct w:val="0"/>
        <w:adjustRightInd w:val="0"/>
        <w:snapToGrid w:val="0"/>
        <w:ind w:firstLine="640"/>
        <w:rPr>
          <w:rFonts w:hint="eastAsia" w:ascii="Times New Roman" w:hAnsi="Times New Roman" w:cs="仿宋_GB2312"/>
          <w:szCs w:val="32"/>
        </w:rPr>
      </w:pPr>
      <w:r>
        <w:rPr>
          <w:rFonts w:ascii="Times New Roman" w:hAnsi="Times New Roman" w:eastAsia="黑体" w:cs="Times New Roman"/>
          <w:bCs/>
          <w:szCs w:val="32"/>
        </w:rPr>
        <w:t xml:space="preserve">第三条 </w:t>
      </w:r>
      <w:r>
        <w:rPr>
          <w:rFonts w:ascii="Times New Roman" w:hAnsi="Times New Roman" w:eastAsia="方正仿宋_GBK" w:cs="Times New Roman"/>
          <w:szCs w:val="32"/>
        </w:rPr>
        <w:t xml:space="preserve"> </w:t>
      </w:r>
      <w:r>
        <w:rPr>
          <w:rFonts w:hint="eastAsia" w:ascii="Times New Roman" w:hAnsi="Times New Roman" w:cs="仿宋_GB2312"/>
          <w:szCs w:val="32"/>
        </w:rPr>
        <w:t>本规则中环境行政处罚裁量权，是指生态环境部门在查处环境违法行为时，依据法律、法规和规章的规定，酌情决定对违法行为人是否处罚、处罚种类和处罚幅度的权限。</w:t>
      </w:r>
    </w:p>
    <w:p>
      <w:pPr>
        <w:overflowPunct w:val="0"/>
        <w:adjustRightInd w:val="0"/>
        <w:snapToGrid w:val="0"/>
        <w:ind w:firstLine="640"/>
        <w:rPr>
          <w:rFonts w:hint="eastAsia" w:ascii="Times New Roman" w:hAnsi="Times New Roman" w:cs="仿宋_GB2312"/>
          <w:szCs w:val="32"/>
          <w:lang w:eastAsia="zh-CN"/>
        </w:rPr>
      </w:pPr>
      <w:r>
        <w:rPr>
          <w:rFonts w:hint="eastAsia" w:ascii="Times New Roman" w:hAnsi="Times New Roman" w:cs="仿宋_GB2312"/>
          <w:szCs w:val="32"/>
          <w:lang w:eastAsia="zh-CN"/>
        </w:rPr>
        <w:t>我市</w:t>
      </w:r>
      <w:r>
        <w:rPr>
          <w:rFonts w:hint="eastAsia" w:ascii="Times New Roman" w:hAnsi="Times New Roman" w:cs="仿宋_GB2312"/>
          <w:szCs w:val="32"/>
        </w:rPr>
        <w:t>法规和规章</w:t>
      </w:r>
      <w:r>
        <w:rPr>
          <w:rFonts w:hint="eastAsia" w:ascii="Times New Roman" w:hAnsi="Times New Roman" w:cs="仿宋_GB2312"/>
          <w:szCs w:val="32"/>
          <w:lang w:eastAsia="zh-CN"/>
        </w:rPr>
        <w:t>规定的处罚，</w:t>
      </w:r>
      <w:r>
        <w:rPr>
          <w:rFonts w:hint="eastAsia" w:ascii="Times New Roman" w:hAnsi="Times New Roman" w:cs="仿宋_GB2312"/>
          <w:color w:val="000000"/>
          <w:szCs w:val="32"/>
          <w:lang w:val="en-US" w:eastAsia="zh-CN"/>
        </w:rPr>
        <w:t>上位法有规定、河南省生态环境行政处罚裁量基准已包含的，从其规定；未规定的，使用</w:t>
      </w:r>
      <w:r>
        <w:rPr>
          <w:rFonts w:hint="eastAsia" w:ascii="Times New Roman" w:hAnsi="Times New Roman" w:cs="仿宋_GB2312"/>
          <w:szCs w:val="32"/>
        </w:rPr>
        <w:t>郑州市生态环境行政处罚裁量基准</w:t>
      </w:r>
      <w:r>
        <w:rPr>
          <w:rFonts w:hint="eastAsia" w:ascii="Times New Roman" w:hAnsi="Times New Roman" w:cs="仿宋_GB2312"/>
          <w:szCs w:val="32"/>
          <w:lang w:eastAsia="zh-CN"/>
        </w:rPr>
        <w:t>。</w:t>
      </w:r>
    </w:p>
    <w:p>
      <w:pPr>
        <w:overflowPunct w:val="0"/>
        <w:adjustRightInd w:val="0"/>
        <w:snapToGrid w:val="0"/>
        <w:ind w:firstLine="640"/>
        <w:rPr>
          <w:rFonts w:ascii="Times New Roman" w:hAnsi="Times New Roman" w:cs="仿宋_GB2312"/>
          <w:szCs w:val="32"/>
        </w:rPr>
      </w:pPr>
      <w:r>
        <w:rPr>
          <w:rFonts w:ascii="Times New Roman" w:hAnsi="Times New Roman" w:eastAsia="黑体" w:cs="Times New Roman"/>
          <w:bCs/>
          <w:szCs w:val="32"/>
        </w:rPr>
        <w:t>第四条</w:t>
      </w:r>
      <w:r>
        <w:rPr>
          <w:rFonts w:ascii="Times New Roman" w:hAnsi="Times New Roman" w:eastAsia="方正仿宋_GBK" w:cs="Times New Roman"/>
          <w:szCs w:val="32"/>
        </w:rPr>
        <w:t xml:space="preserve">  </w:t>
      </w:r>
      <w:r>
        <w:rPr>
          <w:rFonts w:hint="eastAsia" w:ascii="Times New Roman" w:hAnsi="Times New Roman" w:cs="仿宋_GB2312"/>
          <w:szCs w:val="32"/>
        </w:rPr>
        <w:t>全市生态环境部门行使环境行政处罚裁量权，必须以事实为根据，以法律为准绳，遵循公开、公正，处罚与教育、服务相结合等原则，处罚决定给予的处罚种类、幅度应与当事人违法过错、违法行为的性质、情节以及社会危害程度适应。</w:t>
      </w:r>
    </w:p>
    <w:p>
      <w:pPr>
        <w:overflowPunct w:val="0"/>
        <w:adjustRightInd w:val="0"/>
        <w:snapToGrid w:val="0"/>
        <w:ind w:firstLine="640"/>
        <w:rPr>
          <w:rFonts w:ascii="Times New Roman" w:hAnsi="Times New Roman" w:cs="仿宋_GB2312"/>
          <w:szCs w:val="32"/>
        </w:rPr>
      </w:pPr>
      <w:r>
        <w:rPr>
          <w:rFonts w:ascii="Times New Roman" w:hAnsi="Times New Roman" w:eastAsia="黑体" w:cs="Times New Roman"/>
          <w:bCs/>
          <w:szCs w:val="32"/>
        </w:rPr>
        <w:t>第五条</w:t>
      </w:r>
      <w:r>
        <w:rPr>
          <w:rFonts w:ascii="Times New Roman" w:hAnsi="Times New Roman" w:eastAsia="方正仿宋_GBK" w:cs="Times New Roman"/>
          <w:szCs w:val="32"/>
        </w:rPr>
        <w:t xml:space="preserve">  </w:t>
      </w:r>
      <w:r>
        <w:rPr>
          <w:rFonts w:hint="eastAsia" w:ascii="Times New Roman" w:hAnsi="Times New Roman" w:cs="仿宋_GB2312"/>
          <w:szCs w:val="32"/>
        </w:rPr>
        <w:t>裁量基准的设定采用违法情节因素法，根据违法的主观方面、违法事实、危害后果等因素在违法行为中所占权重确立裁量基准。</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裁量基准设立包含以下因素：违法行为造成的环境污染、生态破坏以及社会影响；违法行为当事人的主观过错程度；违法行为的具体表现形式；违法行为危害的具体对象。同类违法行为的情节相同或者相似、社会危害程度相当的，行政处罚种类和幅度应当相当。</w:t>
      </w:r>
    </w:p>
    <w:p>
      <w:pPr>
        <w:overflowPunct w:val="0"/>
        <w:adjustRightInd w:val="0"/>
        <w:snapToGrid w:val="0"/>
        <w:ind w:firstLine="640"/>
        <w:rPr>
          <w:rFonts w:ascii="Times New Roman" w:hAnsi="Times New Roman" w:cs="仿宋_GB2312"/>
          <w:szCs w:val="32"/>
        </w:rPr>
      </w:pPr>
      <w:r>
        <w:rPr>
          <w:rFonts w:ascii="Times New Roman" w:hAnsi="Times New Roman" w:eastAsia="黑体" w:cs="Times New Roman"/>
          <w:bCs/>
          <w:szCs w:val="32"/>
        </w:rPr>
        <w:t>第六条</w:t>
      </w:r>
      <w:r>
        <w:rPr>
          <w:rFonts w:ascii="Times New Roman" w:hAnsi="Times New Roman" w:eastAsia="方正仿宋_GBK" w:cs="Times New Roman"/>
          <w:szCs w:val="32"/>
        </w:rPr>
        <w:t xml:space="preserve">  </w:t>
      </w:r>
      <w:r>
        <w:rPr>
          <w:rFonts w:hint="eastAsia" w:ascii="Times New Roman" w:hAnsi="Times New Roman" w:cs="仿宋_GB2312"/>
          <w:szCs w:val="32"/>
        </w:rPr>
        <w:t>实施生态环境行政处罚时，应当根据具体违法行为确定首要裁量因素。首要裁量因素和其余裁量因素在裁量基准中的权重各按照50%确立。</w:t>
      </w:r>
    </w:p>
    <w:p>
      <w:pPr>
        <w:overflowPunct w:val="0"/>
        <w:adjustRightInd w:val="0"/>
        <w:snapToGrid w:val="0"/>
        <w:ind w:firstLine="640"/>
        <w:rPr>
          <w:rFonts w:ascii="Times New Roman" w:hAnsi="Times New Roman" w:cs="仿宋_GB2312"/>
          <w:szCs w:val="32"/>
        </w:rPr>
      </w:pPr>
      <w:r>
        <w:rPr>
          <w:rFonts w:ascii="Times New Roman" w:hAnsi="Times New Roman" w:eastAsia="黑体" w:cs="Times New Roman"/>
          <w:bCs/>
          <w:szCs w:val="32"/>
        </w:rPr>
        <w:t>第七条</w:t>
      </w:r>
      <w:r>
        <w:rPr>
          <w:rFonts w:ascii="Times New Roman" w:hAnsi="Times New Roman" w:eastAsia="方正仿宋_GBK" w:cs="Times New Roman"/>
          <w:szCs w:val="32"/>
        </w:rPr>
        <w:t xml:space="preserve">  </w:t>
      </w:r>
      <w:r>
        <w:rPr>
          <w:rFonts w:hint="eastAsia" w:ascii="Times New Roman" w:hAnsi="Times New Roman" w:cs="仿宋_GB2312"/>
          <w:szCs w:val="32"/>
        </w:rPr>
        <w:t>裁量基准计算公式：</w:t>
      </w:r>
    </w:p>
    <w:p>
      <w:pPr>
        <w:overflowPunct w:val="0"/>
        <w:adjustRightInd w:val="0"/>
        <w:snapToGrid w:val="0"/>
        <w:ind w:firstLine="640"/>
        <w:rPr>
          <w:rFonts w:ascii="Times New Roman" w:hAnsi="Times New Roman" w:cs="仿宋_GB2312"/>
          <w:szCs w:val="32"/>
        </w:rPr>
      </w:pPr>
      <w:r>
        <w:rPr>
          <w:rFonts w:ascii="Times New Roman" w:hAnsi="Times New Roman" w:cs="仿宋_GB2312"/>
          <w:szCs w:val="32"/>
        </w:rPr>
        <w:drawing>
          <wp:anchor distT="0" distB="0" distL="114300" distR="114300" simplePos="0" relativeHeight="251660288" behindDoc="1" locked="0" layoutInCell="1" allowOverlap="1">
            <wp:simplePos x="0" y="0"/>
            <wp:positionH relativeFrom="column">
              <wp:posOffset>303530</wp:posOffset>
            </wp:positionH>
            <wp:positionV relativeFrom="paragraph">
              <wp:posOffset>65405</wp:posOffset>
            </wp:positionV>
            <wp:extent cx="3589020" cy="565785"/>
            <wp:effectExtent l="0" t="0" r="0" b="0"/>
            <wp:wrapTight wrapText="bothSides">
              <wp:wrapPolygon>
                <wp:start x="8140" y="1455"/>
                <wp:lineTo x="229" y="8727"/>
                <wp:lineTo x="0" y="12364"/>
                <wp:lineTo x="3898" y="13091"/>
                <wp:lineTo x="8025" y="20364"/>
                <wp:lineTo x="8140" y="20364"/>
                <wp:lineTo x="18688" y="20364"/>
                <wp:lineTo x="18688" y="13091"/>
                <wp:lineTo x="21325" y="12364"/>
                <wp:lineTo x="21325" y="8000"/>
                <wp:lineTo x="18688" y="1455"/>
                <wp:lineTo x="8140" y="1455"/>
              </wp:wrapPolygon>
            </wp:wrapTight>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3589020" cy="565785"/>
                    </a:xfrm>
                    <a:prstGeom prst="rect">
                      <a:avLst/>
                    </a:prstGeom>
                    <a:noFill/>
                    <a:ln>
                      <a:noFill/>
                    </a:ln>
                  </pic:spPr>
                </pic:pic>
              </a:graphicData>
            </a:graphic>
          </wp:anchor>
        </w:drawing>
      </w:r>
    </w:p>
    <w:p>
      <w:pPr>
        <w:overflowPunct w:val="0"/>
        <w:adjustRightInd w:val="0"/>
        <w:snapToGrid w:val="0"/>
        <w:ind w:firstLine="640"/>
        <w:rPr>
          <w:rFonts w:ascii="Times New Roman" w:hAnsi="Times New Roman" w:cs="仿宋_GB2312"/>
          <w:szCs w:val="32"/>
        </w:rPr>
      </w:pP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X：处罚金额；</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M：法定处罚金额上限；</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N：法定处罚金额下限，下限可以为零；</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A：首要裁量因素裁量等级；</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n：其余裁量因素个数；</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Bi：其余裁量因素裁量等级。</w:t>
      </w:r>
    </w:p>
    <w:p>
      <w:pPr>
        <w:overflowPunct w:val="0"/>
        <w:adjustRightInd w:val="0"/>
        <w:snapToGrid w:val="0"/>
        <w:ind w:firstLine="640"/>
        <w:rPr>
          <w:rFonts w:ascii="Times New Roman" w:hAnsi="Times New Roman" w:cs="仿宋_GB2312"/>
          <w:szCs w:val="32"/>
        </w:rPr>
      </w:pPr>
      <w:r>
        <w:rPr>
          <w:rFonts w:hint="eastAsia" w:ascii="Times New Roman" w:hAnsi="Times New Roman" w:cs="仿宋_GB2312"/>
          <w:szCs w:val="32"/>
        </w:rPr>
        <w:t>生态环境部门决定处罚金额时，首先确定裁量基准中各项裁量因素的裁量等级，再通过计算公式确定处罚金</w:t>
      </w:r>
      <w:bookmarkStart w:id="1" w:name="OLE_LINK53"/>
      <w:bookmarkStart w:id="2" w:name="OLE_LINK55"/>
      <w:bookmarkStart w:id="3" w:name="OLE_LINK54"/>
      <w:r>
        <w:rPr>
          <w:rFonts w:hint="eastAsia" w:ascii="Times New Roman" w:hAnsi="Times New Roman" w:cs="仿宋_GB2312"/>
          <w:szCs w:val="32"/>
        </w:rPr>
        <w:t>额，然后根据本规则调整决定处罚金额。若首要裁量因素同时有多个时，选择裁量等级高的一个裁量因素作为首要裁量因素，其余的按Bi进行计算。罚款金额按照四舍五入取整到元。</w:t>
      </w:r>
      <w:bookmarkEnd w:id="1"/>
      <w:bookmarkEnd w:id="2"/>
      <w:bookmarkEnd w:id="3"/>
    </w:p>
    <w:p>
      <w:pPr>
        <w:overflowPunct w:val="0"/>
        <w:adjustRightInd w:val="0"/>
        <w:snapToGrid w:val="0"/>
        <w:ind w:firstLine="640"/>
        <w:rPr>
          <w:rFonts w:ascii="Times New Roman" w:hAnsi="Times New Roman" w:eastAsia="方正仿宋_GBK" w:cs="Times New Roman"/>
          <w:szCs w:val="32"/>
        </w:rPr>
      </w:pPr>
      <w:r>
        <w:rPr>
          <w:rFonts w:ascii="Times New Roman" w:hAnsi="Times New Roman" w:eastAsia="黑体" w:cs="Times New Roman"/>
          <w:bCs/>
          <w:szCs w:val="32"/>
        </w:rPr>
        <w:t>第</w:t>
      </w:r>
      <w:r>
        <w:rPr>
          <w:rFonts w:hint="eastAsia" w:ascii="Times New Roman" w:hAnsi="Times New Roman" w:eastAsia="黑体" w:cs="Times New Roman"/>
          <w:bCs/>
          <w:szCs w:val="32"/>
        </w:rPr>
        <w:t>八</w:t>
      </w:r>
      <w:r>
        <w:rPr>
          <w:rFonts w:ascii="Times New Roman" w:hAnsi="Times New Roman" w:eastAsia="黑体" w:cs="Times New Roman"/>
          <w:bCs/>
          <w:szCs w:val="32"/>
        </w:rPr>
        <w:t>条</w:t>
      </w:r>
      <w:r>
        <w:rPr>
          <w:rFonts w:ascii="Times New Roman" w:hAnsi="Times New Roman" w:eastAsia="方正仿宋_GBK" w:cs="Times New Roman"/>
          <w:szCs w:val="32"/>
        </w:rPr>
        <w:t xml:space="preserve">  </w:t>
      </w:r>
      <w:r>
        <w:rPr>
          <w:rFonts w:hint="eastAsia" w:ascii="Times New Roman" w:hAnsi="Times New Roman" w:cs="仿宋_GB2312"/>
          <w:szCs w:val="32"/>
        </w:rPr>
        <w:t>生态环境行政处罚适用裁量基准</w:t>
      </w:r>
      <w:r>
        <w:rPr>
          <w:rFonts w:hint="eastAsia" w:ascii="Times New Roman" w:hAnsi="Times New Roman" w:cs="仿宋_GB2312"/>
          <w:szCs w:val="32"/>
          <w:lang w:eastAsia="zh-CN"/>
        </w:rPr>
        <w:t>（包括河南省生态环境裁量基准和郑州市生态环境裁量基准）</w:t>
      </w:r>
      <w:r>
        <w:rPr>
          <w:rFonts w:hint="eastAsia" w:ascii="Times New Roman" w:hAnsi="Times New Roman" w:cs="仿宋_GB2312"/>
          <w:szCs w:val="32"/>
        </w:rPr>
        <w:t>确定处罚金额后，可以根据违法行为的性质、情节、危害程度等内容，综合考量，依照本规则免予、从轻减轻处罚，或者从重处罚。</w:t>
      </w:r>
    </w:p>
    <w:p>
      <w:pPr>
        <w:widowControl/>
        <w:ind w:firstLine="622"/>
        <w:jc w:val="left"/>
      </w:pPr>
      <w:r>
        <w:rPr>
          <w:rFonts w:ascii="FZFangSong-Z02" w:hAnsi="FZFangSong-Z02" w:eastAsia="FZFangSong-Z02" w:cs="FZFangSong-Z02"/>
          <w:b/>
          <w:color w:val="000000"/>
          <w:kern w:val="0"/>
          <w:sz w:val="31"/>
          <w:szCs w:val="31"/>
        </w:rPr>
        <w:t xml:space="preserve">（一）免予处罚情形 </w:t>
      </w:r>
    </w:p>
    <w:p>
      <w:pPr>
        <w:snapToGrid w:val="0"/>
        <w:spacing w:line="500" w:lineRule="atLeast"/>
        <w:ind w:firstLine="640"/>
        <w:rPr>
          <w:rFonts w:ascii="仿宋" w:hAnsi="仿宋" w:eastAsia="仿宋"/>
          <w:szCs w:val="32"/>
        </w:rPr>
      </w:pPr>
      <w:r>
        <w:rPr>
          <w:rFonts w:ascii="仿宋" w:hAnsi="仿宋" w:eastAsia="仿宋"/>
          <w:szCs w:val="32"/>
        </w:rPr>
        <w:t>1</w:t>
      </w:r>
      <w:r>
        <w:rPr>
          <w:rFonts w:hint="eastAsia" w:ascii="仿宋" w:hAnsi="仿宋" w:eastAsia="仿宋"/>
          <w:szCs w:val="32"/>
        </w:rPr>
        <w:t>、建设项目违反环境影响评价审批和备案的行为：环境影响评价文件列入报告表或者报告书类的建设项目，未批先建行为未造成环境污染后果，且主动实施停止建设、自行关停或者恢复原状等措施的。环境影响登记表类建设项目未依法备案，符合区域规划，配套的污染防治设施已建成，并经责令改正后于</w:t>
      </w:r>
      <w:r>
        <w:rPr>
          <w:rFonts w:ascii="仿宋" w:hAnsi="仿宋" w:eastAsia="仿宋"/>
          <w:szCs w:val="32"/>
        </w:rPr>
        <w:t>5</w:t>
      </w:r>
      <w:r>
        <w:rPr>
          <w:rFonts w:hint="eastAsia" w:ascii="仿宋" w:hAnsi="仿宋" w:eastAsia="仿宋"/>
          <w:szCs w:val="32"/>
        </w:rPr>
        <w:t>个工作日内按要求完成备案的；</w:t>
      </w:r>
    </w:p>
    <w:p>
      <w:pPr>
        <w:snapToGrid w:val="0"/>
        <w:spacing w:line="500" w:lineRule="atLeast"/>
        <w:ind w:firstLine="640"/>
        <w:rPr>
          <w:rFonts w:ascii="仿宋" w:hAnsi="仿宋" w:eastAsia="仿宋"/>
          <w:szCs w:val="32"/>
        </w:rPr>
      </w:pPr>
      <w:r>
        <w:rPr>
          <w:rFonts w:ascii="仿宋" w:hAnsi="仿宋" w:eastAsia="仿宋"/>
          <w:szCs w:val="32"/>
        </w:rPr>
        <w:t>2</w:t>
      </w:r>
      <w:r>
        <w:rPr>
          <w:rFonts w:hint="eastAsia" w:ascii="仿宋" w:hAnsi="仿宋" w:eastAsia="仿宋"/>
          <w:szCs w:val="32"/>
        </w:rPr>
        <w:t>、不正常运行污染防治设施的行为：因突发故障等非主观故意因素导致污染防治设施不正常运行，能及时主动向生态环境部门报告，并采取维修、停产、限产等措施减少污染物排放，未造成明显环境污染后果的；</w:t>
      </w:r>
    </w:p>
    <w:p>
      <w:pPr>
        <w:snapToGrid w:val="0"/>
        <w:spacing w:line="500" w:lineRule="atLeast"/>
        <w:ind w:firstLine="640"/>
        <w:rPr>
          <w:rFonts w:ascii="仿宋" w:hAnsi="仿宋" w:eastAsia="仿宋"/>
          <w:szCs w:val="32"/>
        </w:rPr>
      </w:pPr>
      <w:r>
        <w:rPr>
          <w:rFonts w:ascii="仿宋" w:hAnsi="仿宋" w:eastAsia="仿宋"/>
          <w:szCs w:val="32"/>
        </w:rPr>
        <w:t>3</w:t>
      </w:r>
      <w:r>
        <w:rPr>
          <w:rFonts w:hint="eastAsia" w:ascii="仿宋" w:hAnsi="仿宋" w:eastAsia="仿宋"/>
          <w:szCs w:val="32"/>
        </w:rPr>
        <w:t>、不正常使用焊烟收集处理设施的行为：焊烟收集处理设施不正常使用，正在作业的焊机不超</w:t>
      </w:r>
      <w:r>
        <w:rPr>
          <w:rFonts w:ascii="仿宋" w:hAnsi="仿宋" w:eastAsia="仿宋"/>
          <w:szCs w:val="32"/>
        </w:rPr>
        <w:t>3</w:t>
      </w:r>
      <w:r>
        <w:rPr>
          <w:rFonts w:hint="eastAsia" w:ascii="仿宋" w:hAnsi="仿宋" w:eastAsia="仿宋"/>
          <w:szCs w:val="32"/>
        </w:rPr>
        <w:t>台，首次发现，经现场检查指出后及时主动整改的；</w:t>
      </w:r>
    </w:p>
    <w:p>
      <w:pPr>
        <w:snapToGrid w:val="0"/>
        <w:spacing w:line="500" w:lineRule="atLeast"/>
        <w:ind w:firstLine="640"/>
        <w:rPr>
          <w:rFonts w:ascii="仿宋" w:hAnsi="仿宋" w:eastAsia="仿宋"/>
          <w:szCs w:val="32"/>
        </w:rPr>
      </w:pPr>
      <w:r>
        <w:rPr>
          <w:rFonts w:ascii="仿宋" w:hAnsi="仿宋" w:eastAsia="仿宋"/>
          <w:szCs w:val="32"/>
        </w:rPr>
        <w:t>4</w:t>
      </w:r>
      <w:r>
        <w:rPr>
          <w:rFonts w:hint="eastAsia" w:ascii="仿宋" w:hAnsi="仿宋" w:eastAsia="仿宋"/>
          <w:szCs w:val="32"/>
        </w:rPr>
        <w:t>、违反工业固废和危废管理规定的行为：未设置或未规范设置危险废物识别标志，首次发现，经现场检查指出后立即改正的。不规范贮存危险废物，数量小于</w:t>
      </w:r>
      <w:r>
        <w:rPr>
          <w:rFonts w:ascii="仿宋" w:hAnsi="仿宋" w:eastAsia="仿宋"/>
          <w:szCs w:val="32"/>
        </w:rPr>
        <w:t>0.01</w:t>
      </w:r>
      <w:r>
        <w:rPr>
          <w:rFonts w:hint="eastAsia" w:ascii="仿宋" w:hAnsi="仿宋" w:eastAsia="仿宋"/>
          <w:szCs w:val="32"/>
        </w:rPr>
        <w:t>吨，经现场检查指出后及时主动纠正，且未污染外环境的。未按照国家有关规定建立工业固体废物、危险废物管理台账并如实记录的；未及时公开工业固体废物、危险废物污染环境防治信息或者公开内容不全，首次发现，按要求及时完成整改的；</w:t>
      </w:r>
    </w:p>
    <w:p>
      <w:pPr>
        <w:snapToGrid w:val="0"/>
        <w:spacing w:line="500" w:lineRule="atLeast"/>
        <w:ind w:firstLine="640"/>
        <w:rPr>
          <w:rFonts w:ascii="仿宋" w:hAnsi="仿宋" w:eastAsia="仿宋"/>
          <w:b w:val="0"/>
          <w:bCs/>
          <w:szCs w:val="32"/>
        </w:rPr>
      </w:pPr>
      <w:r>
        <w:rPr>
          <w:rFonts w:ascii="仿宋" w:hAnsi="仿宋" w:eastAsia="仿宋"/>
          <w:szCs w:val="32"/>
        </w:rPr>
        <w:t>5</w:t>
      </w:r>
      <w:r>
        <w:rPr>
          <w:rFonts w:hint="eastAsia" w:ascii="仿宋" w:hAnsi="仿宋" w:eastAsia="仿宋"/>
          <w:szCs w:val="32"/>
        </w:rPr>
        <w:t>、违反扬尘、粉尘、VOC</w:t>
      </w:r>
      <w:r>
        <w:rPr>
          <w:rFonts w:hint="eastAsia" w:ascii="仿宋" w:hAnsi="仿宋" w:eastAsia="仿宋"/>
          <w:szCs w:val="32"/>
          <w:vertAlign w:val="subscript"/>
        </w:rPr>
        <w:t>S</w:t>
      </w:r>
      <w:r>
        <w:rPr>
          <w:rFonts w:hint="eastAsia" w:ascii="仿宋" w:hAnsi="仿宋" w:eastAsia="仿宋"/>
          <w:szCs w:val="32"/>
        </w:rPr>
        <w:t>等气态污染物管理规定的行为：</w:t>
      </w:r>
      <w:r>
        <w:rPr>
          <w:rFonts w:hint="eastAsia" w:ascii="仿宋" w:hAnsi="仿宋" w:eastAsia="仿宋"/>
          <w:b w:val="0"/>
          <w:bCs/>
          <w:szCs w:val="32"/>
        </w:rPr>
        <w:t>未密闭易产生扬尘物料的、防治扬尘污染措施未达到规定的；未按规范采取有效措施减少粉尘和气态污染物排放，首次发现，能立即改正未造成明显后果的；对非生产状态下未密闭或者未贮存生产后遗留少量包装物、容器等易产生VOCS物料的，首次发现，未造成明显后果的，能即时整改的；</w:t>
      </w:r>
    </w:p>
    <w:p>
      <w:pPr>
        <w:snapToGrid w:val="0"/>
        <w:spacing w:line="500" w:lineRule="atLeast"/>
        <w:ind w:firstLine="640"/>
        <w:rPr>
          <w:rFonts w:ascii="仿宋" w:hAnsi="仿宋" w:eastAsia="仿宋"/>
          <w:b w:val="0"/>
          <w:bCs/>
          <w:szCs w:val="32"/>
        </w:rPr>
      </w:pPr>
      <w:r>
        <w:rPr>
          <w:rFonts w:ascii="仿宋" w:hAnsi="仿宋" w:eastAsia="仿宋"/>
          <w:b w:val="0"/>
          <w:bCs/>
          <w:szCs w:val="32"/>
        </w:rPr>
        <w:t>6</w:t>
      </w:r>
      <w:r>
        <w:rPr>
          <w:rFonts w:hint="eastAsia" w:ascii="仿宋" w:hAnsi="仿宋" w:eastAsia="仿宋"/>
          <w:b w:val="0"/>
          <w:bCs/>
          <w:szCs w:val="32"/>
        </w:rPr>
        <w:t>、</w:t>
      </w:r>
      <w:r>
        <w:rPr>
          <w:rFonts w:ascii="仿宋" w:hAnsi="仿宋" w:eastAsia="仿宋"/>
          <w:b w:val="0"/>
          <w:bCs/>
          <w:szCs w:val="32"/>
        </w:rPr>
        <w:t>不属于生产工艺的偶发性行为：对生产设施、设备维修实施刷漆补漆（如防锈蚀）或者焊接（维修部件）等不属于生产工艺、工序或者工段中的偶发性行为，</w:t>
      </w:r>
      <w:r>
        <w:rPr>
          <w:rFonts w:hint="eastAsia" w:ascii="仿宋" w:hAnsi="仿宋" w:eastAsia="仿宋"/>
          <w:b w:val="0"/>
          <w:bCs/>
          <w:szCs w:val="32"/>
        </w:rPr>
        <w:t>未造成明显环境污染后果，经责令限期改正后能及时主动整改的；</w:t>
      </w:r>
    </w:p>
    <w:p>
      <w:pPr>
        <w:snapToGrid w:val="0"/>
        <w:spacing w:line="500" w:lineRule="atLeast"/>
        <w:ind w:firstLine="643"/>
        <w:rPr>
          <w:rFonts w:ascii="仿宋_GB2312" w:hAnsi="仿宋"/>
          <w:b w:val="0"/>
          <w:bCs/>
          <w:szCs w:val="32"/>
        </w:rPr>
      </w:pPr>
      <w:r>
        <w:rPr>
          <w:rFonts w:hint="eastAsia" w:ascii="仿宋_GB2312" w:hAnsi="仿宋"/>
          <w:b w:val="0"/>
          <w:bCs/>
          <w:szCs w:val="32"/>
        </w:rPr>
        <w:t>7、超标排放行为：</w:t>
      </w:r>
      <w:r>
        <w:rPr>
          <w:rFonts w:hint="eastAsia" w:ascii="仿宋_GB2312" w:hAnsi="Times New Roman" w:cs="Times New Roman"/>
          <w:b w:val="0"/>
          <w:bCs/>
          <w:szCs w:val="32"/>
        </w:rPr>
        <w:t>单位超过标准排放污染物，污染物单因子超标倍数≤0.1倍，次日完成整改并达标排放的；</w:t>
      </w:r>
    </w:p>
    <w:p>
      <w:pPr>
        <w:snapToGrid w:val="0"/>
        <w:spacing w:line="500" w:lineRule="atLeast"/>
        <w:ind w:firstLine="640"/>
        <w:rPr>
          <w:rFonts w:ascii="仿宋" w:hAnsi="仿宋" w:eastAsia="仿宋"/>
          <w:szCs w:val="32"/>
        </w:rPr>
      </w:pPr>
      <w:r>
        <w:rPr>
          <w:rFonts w:ascii="仿宋" w:hAnsi="仿宋" w:eastAsia="仿宋"/>
          <w:szCs w:val="32"/>
        </w:rPr>
        <w:t>8</w:t>
      </w:r>
      <w:r>
        <w:rPr>
          <w:rFonts w:hint="eastAsia" w:ascii="仿宋" w:hAnsi="仿宋" w:eastAsia="仿宋"/>
          <w:szCs w:val="32"/>
        </w:rPr>
        <w:t>、未按照规定公开信息的行为：重点排污单位环境信息未及时公开或者公开内容不全，首次发现，按要求及时完成整改的（不含公开内容弄虚作假行为）；</w:t>
      </w:r>
    </w:p>
    <w:p>
      <w:pPr>
        <w:snapToGrid w:val="0"/>
        <w:spacing w:line="500" w:lineRule="atLeast"/>
        <w:ind w:firstLine="640"/>
        <w:rPr>
          <w:rFonts w:ascii="仿宋" w:hAnsi="仿宋" w:eastAsia="仿宋"/>
          <w:szCs w:val="32"/>
        </w:rPr>
      </w:pPr>
      <w:r>
        <w:rPr>
          <w:rFonts w:ascii="仿宋" w:hAnsi="仿宋" w:eastAsia="仿宋"/>
          <w:szCs w:val="32"/>
        </w:rPr>
        <w:t>9</w:t>
      </w:r>
      <w:r>
        <w:rPr>
          <w:rFonts w:hint="eastAsia" w:ascii="仿宋" w:hAnsi="仿宋" w:eastAsia="仿宋"/>
          <w:szCs w:val="32"/>
        </w:rPr>
        <w:t>、违反排污许可证规定的行为：未按照排污许可证规定开展自行监测、公开或者不如实公开污染物排放信息、建立环境管理台账并如实记录、提交排污许可证执行报告等，首次发现，按要求及时完成整改的；</w:t>
      </w:r>
    </w:p>
    <w:p>
      <w:pPr>
        <w:snapToGrid w:val="0"/>
        <w:spacing w:line="500" w:lineRule="atLeast"/>
        <w:ind w:firstLine="640"/>
        <w:rPr>
          <w:rFonts w:ascii="仿宋" w:hAnsi="仿宋" w:eastAsia="仿宋"/>
          <w:b w:val="0"/>
          <w:bCs w:val="0"/>
          <w:szCs w:val="32"/>
        </w:rPr>
      </w:pPr>
      <w:r>
        <w:rPr>
          <w:rFonts w:ascii="仿宋" w:hAnsi="仿宋" w:eastAsia="仿宋"/>
          <w:b w:val="0"/>
          <w:bCs w:val="0"/>
          <w:szCs w:val="32"/>
        </w:rPr>
        <w:t>10</w:t>
      </w:r>
      <w:r>
        <w:rPr>
          <w:rFonts w:hint="eastAsia" w:ascii="仿宋" w:hAnsi="仿宋" w:eastAsia="仿宋"/>
          <w:b w:val="0"/>
          <w:bCs w:val="0"/>
          <w:szCs w:val="32"/>
        </w:rPr>
        <w:t>、初次违法且危害后果轻微并及时改正的，可以不予行政处罚。</w:t>
      </w:r>
    </w:p>
    <w:p>
      <w:pPr>
        <w:snapToGrid w:val="0"/>
        <w:spacing w:line="500" w:lineRule="atLeast"/>
        <w:ind w:firstLine="640"/>
        <w:rPr>
          <w:rFonts w:ascii="仿宋" w:hAnsi="仿宋" w:eastAsia="仿宋"/>
          <w:szCs w:val="32"/>
        </w:rPr>
      </w:pPr>
      <w:r>
        <w:rPr>
          <w:rFonts w:hint="eastAsia" w:ascii="仿宋" w:hAnsi="仿宋" w:eastAsia="仿宋"/>
          <w:szCs w:val="32"/>
        </w:rPr>
        <w:t>对符合上述情形的，不予罚款处罚的，应当予以行政指导，</w:t>
      </w:r>
    </w:p>
    <w:p>
      <w:pPr>
        <w:snapToGrid w:val="0"/>
        <w:spacing w:line="500" w:lineRule="atLeast"/>
        <w:ind w:firstLine="0" w:firstLineChars="0"/>
        <w:rPr>
          <w:rFonts w:ascii="仿宋" w:hAnsi="仿宋" w:eastAsia="仿宋"/>
          <w:szCs w:val="32"/>
        </w:rPr>
      </w:pPr>
      <w:r>
        <w:rPr>
          <w:rFonts w:hint="eastAsia" w:ascii="仿宋" w:hAnsi="仿宋" w:eastAsia="仿宋"/>
          <w:szCs w:val="32"/>
        </w:rPr>
        <w:t>以书面方式告知当事人要严格遵守环保法律法规，加强污染防治设施管理，落实各项污染防治措施，避免类似行为再次发生。</w:t>
      </w:r>
    </w:p>
    <w:p>
      <w:pPr>
        <w:widowControl/>
        <w:ind w:firstLine="622"/>
        <w:jc w:val="left"/>
      </w:pPr>
      <w:r>
        <w:rPr>
          <w:rFonts w:ascii="FZFangSong-Z02" w:hAnsi="FZFangSong-Z02" w:eastAsia="FZFangSong-Z02" w:cs="FZFangSong-Z02"/>
          <w:b/>
          <w:color w:val="000000"/>
          <w:kern w:val="0"/>
          <w:sz w:val="31"/>
          <w:szCs w:val="31"/>
        </w:rPr>
        <w:t xml:space="preserve">（二）从轻、减轻处罚情形 </w:t>
      </w:r>
    </w:p>
    <w:p>
      <w:pPr>
        <w:snapToGrid w:val="0"/>
        <w:spacing w:line="500" w:lineRule="atLeast"/>
        <w:ind w:left="0" w:leftChars="0" w:firstLine="640" w:firstLineChars="200"/>
        <w:rPr>
          <w:rFonts w:ascii="仿宋" w:hAnsi="仿宋" w:eastAsia="仿宋"/>
          <w:szCs w:val="32"/>
        </w:rPr>
      </w:pPr>
      <w:r>
        <w:rPr>
          <w:rFonts w:ascii="仿宋" w:hAnsi="仿宋" w:eastAsia="仿宋"/>
          <w:szCs w:val="32"/>
        </w:rPr>
        <w:t xml:space="preserve">1. 排污单位因突发机械设备故障造成超过国家排放标准排 </w:t>
      </w:r>
    </w:p>
    <w:p>
      <w:pPr>
        <w:snapToGrid w:val="0"/>
        <w:spacing w:line="500" w:lineRule="atLeast"/>
        <w:ind w:left="0" w:leftChars="0" w:firstLine="0" w:firstLineChars="0"/>
        <w:rPr>
          <w:rFonts w:ascii="仿宋" w:hAnsi="仿宋" w:eastAsia="仿宋"/>
          <w:szCs w:val="32"/>
        </w:rPr>
      </w:pPr>
      <w:r>
        <w:rPr>
          <w:rFonts w:ascii="仿宋" w:hAnsi="仿宋" w:eastAsia="仿宋"/>
          <w:szCs w:val="32"/>
        </w:rPr>
        <w:t xml:space="preserve">放污染物，按照规程及时维修实现达标排放的； </w:t>
      </w:r>
    </w:p>
    <w:p>
      <w:pPr>
        <w:snapToGrid w:val="0"/>
        <w:spacing w:line="500" w:lineRule="atLeast"/>
        <w:ind w:firstLine="640"/>
        <w:rPr>
          <w:rFonts w:ascii="仿宋" w:hAnsi="仿宋" w:eastAsia="仿宋"/>
          <w:szCs w:val="32"/>
        </w:rPr>
      </w:pPr>
      <w:r>
        <w:rPr>
          <w:rFonts w:ascii="仿宋" w:hAnsi="仿宋" w:eastAsia="仿宋"/>
          <w:szCs w:val="32"/>
        </w:rPr>
        <w:t xml:space="preserve">2. 单位主动消除或者减轻生态环境违法行为危害后果的； </w:t>
      </w:r>
    </w:p>
    <w:p>
      <w:pPr>
        <w:snapToGrid w:val="0"/>
        <w:spacing w:line="500" w:lineRule="atLeast"/>
        <w:ind w:firstLine="640"/>
        <w:rPr>
          <w:rFonts w:ascii="仿宋" w:hAnsi="仿宋" w:eastAsia="仿宋"/>
          <w:szCs w:val="32"/>
        </w:rPr>
      </w:pPr>
      <w:r>
        <w:rPr>
          <w:rFonts w:ascii="仿宋" w:hAnsi="仿宋" w:eastAsia="仿宋"/>
          <w:szCs w:val="32"/>
        </w:rPr>
        <w:t xml:space="preserve">3. 受他人胁迫有生态环境违法行为的； </w:t>
      </w:r>
    </w:p>
    <w:p>
      <w:pPr>
        <w:snapToGrid w:val="0"/>
        <w:spacing w:line="500" w:lineRule="atLeast"/>
        <w:ind w:firstLine="640"/>
        <w:rPr>
          <w:rFonts w:ascii="仿宋" w:hAnsi="仿宋" w:eastAsia="仿宋"/>
          <w:szCs w:val="32"/>
        </w:rPr>
      </w:pPr>
      <w:r>
        <w:rPr>
          <w:rFonts w:ascii="仿宋" w:hAnsi="仿宋" w:eastAsia="仿宋"/>
          <w:szCs w:val="32"/>
        </w:rPr>
        <w:t xml:space="preserve">4. 配合生态环境部门查处生态环境违法行为有立功表现 的； </w:t>
      </w:r>
    </w:p>
    <w:p>
      <w:pPr>
        <w:snapToGrid w:val="0"/>
        <w:spacing w:line="500" w:lineRule="atLeast"/>
        <w:ind w:firstLine="640"/>
        <w:rPr>
          <w:rFonts w:ascii="仿宋" w:hAnsi="仿宋" w:eastAsia="仿宋"/>
          <w:szCs w:val="32"/>
        </w:rPr>
      </w:pPr>
      <w:r>
        <w:rPr>
          <w:rFonts w:ascii="仿宋" w:hAnsi="仿宋" w:eastAsia="仿宋"/>
          <w:szCs w:val="32"/>
        </w:rPr>
        <w:t xml:space="preserve">5. 其他依法从轻或者减轻行政处罚的。 </w:t>
      </w:r>
    </w:p>
    <w:p>
      <w:pPr>
        <w:snapToGrid w:val="0"/>
        <w:spacing w:line="500" w:lineRule="atLeast"/>
        <w:ind w:firstLine="640"/>
        <w:rPr>
          <w:rFonts w:ascii="仿宋" w:hAnsi="仿宋" w:eastAsia="仿宋"/>
          <w:szCs w:val="32"/>
        </w:rPr>
      </w:pPr>
      <w:r>
        <w:rPr>
          <w:rFonts w:ascii="仿宋" w:hAnsi="仿宋" w:eastAsia="仿宋"/>
          <w:szCs w:val="32"/>
        </w:rPr>
        <w:t xml:space="preserve">对符合从轻、减轻处罚情形的案件，可以在裁量基准确定罚 </w:t>
      </w:r>
    </w:p>
    <w:p>
      <w:pPr>
        <w:snapToGrid w:val="0"/>
        <w:spacing w:line="500" w:lineRule="atLeast"/>
        <w:ind w:firstLine="0" w:firstLineChars="0"/>
        <w:rPr>
          <w:rFonts w:ascii="仿宋" w:hAnsi="仿宋" w:eastAsia="仿宋"/>
          <w:szCs w:val="32"/>
        </w:rPr>
      </w:pPr>
      <w:r>
        <w:rPr>
          <w:rFonts w:ascii="仿宋" w:hAnsi="仿宋" w:eastAsia="仿宋"/>
          <w:szCs w:val="32"/>
        </w:rPr>
        <w:t xml:space="preserve">款金额的基础上减少一定的百分值，但一般不超过 20%。减轻处 </w:t>
      </w:r>
    </w:p>
    <w:p>
      <w:pPr>
        <w:snapToGrid w:val="0"/>
        <w:spacing w:line="500" w:lineRule="atLeast"/>
        <w:ind w:firstLine="0" w:firstLineChars="0"/>
        <w:rPr>
          <w:rFonts w:ascii="仿宋" w:hAnsi="仿宋" w:eastAsia="仿宋"/>
          <w:szCs w:val="32"/>
        </w:rPr>
      </w:pPr>
      <w:r>
        <w:rPr>
          <w:rFonts w:ascii="仿宋" w:hAnsi="仿宋" w:eastAsia="仿宋"/>
          <w:szCs w:val="32"/>
        </w:rPr>
        <w:t>罚后的罚款金额以最低的法定罚款金额为限。</w:t>
      </w:r>
    </w:p>
    <w:p>
      <w:pPr>
        <w:snapToGrid w:val="0"/>
        <w:spacing w:line="500" w:lineRule="atLeast"/>
        <w:ind w:firstLine="640"/>
        <w:rPr>
          <w:rFonts w:ascii="仿宋" w:hAnsi="仿宋" w:eastAsia="仿宋"/>
          <w:szCs w:val="32"/>
        </w:rPr>
      </w:pPr>
      <w:r>
        <w:rPr>
          <w:rFonts w:ascii="仿宋" w:hAnsi="仿宋" w:eastAsia="仿宋"/>
          <w:szCs w:val="32"/>
        </w:rPr>
        <w:t xml:space="preserve">作出从轻或者减轻处罚决定的案件，应当在案卷中附具理由和证据材料。同时具有从重、从轻或者减轻情节的，应综合考虑，根据主要情节适用处罚。 </w:t>
      </w:r>
    </w:p>
    <w:p>
      <w:pPr>
        <w:widowControl/>
        <w:ind w:firstLine="622"/>
        <w:jc w:val="left"/>
      </w:pPr>
      <w:r>
        <w:rPr>
          <w:rFonts w:ascii="FZFangSong-Z02" w:hAnsi="FZFangSong-Z02" w:eastAsia="FZFangSong-Z02" w:cs="FZFangSong-Z02"/>
          <w:b/>
          <w:color w:val="000000"/>
          <w:kern w:val="0"/>
          <w:sz w:val="31"/>
          <w:szCs w:val="31"/>
        </w:rPr>
        <w:t xml:space="preserve">（三）从重处罚情形 </w:t>
      </w:r>
    </w:p>
    <w:p>
      <w:pPr>
        <w:snapToGrid w:val="0"/>
        <w:spacing w:line="500" w:lineRule="atLeast"/>
        <w:ind w:firstLine="640"/>
        <w:rPr>
          <w:rFonts w:ascii="仿宋" w:hAnsi="仿宋" w:eastAsia="仿宋"/>
          <w:szCs w:val="32"/>
        </w:rPr>
      </w:pPr>
      <w:r>
        <w:rPr>
          <w:rFonts w:ascii="仿宋" w:hAnsi="仿宋" w:eastAsia="仿宋"/>
          <w:szCs w:val="32"/>
        </w:rPr>
        <w:t xml:space="preserve">1. 两年内因同类生态环境违法行为被处罚 3 次（含 3 次） </w:t>
      </w:r>
    </w:p>
    <w:p>
      <w:pPr>
        <w:snapToGrid w:val="0"/>
        <w:spacing w:line="500" w:lineRule="atLeast"/>
        <w:ind w:firstLine="0" w:firstLineChars="0"/>
        <w:rPr>
          <w:rFonts w:ascii="仿宋" w:hAnsi="仿宋" w:eastAsia="仿宋"/>
          <w:szCs w:val="32"/>
        </w:rPr>
      </w:pPr>
      <w:r>
        <w:rPr>
          <w:rFonts w:ascii="仿宋" w:hAnsi="仿宋" w:eastAsia="仿宋"/>
          <w:szCs w:val="32"/>
        </w:rPr>
        <w:t xml:space="preserve">以上的； </w:t>
      </w:r>
    </w:p>
    <w:p>
      <w:pPr>
        <w:snapToGrid w:val="0"/>
        <w:spacing w:line="500" w:lineRule="atLeast"/>
        <w:ind w:firstLine="640"/>
        <w:rPr>
          <w:rFonts w:ascii="仿宋" w:hAnsi="仿宋" w:eastAsia="仿宋"/>
          <w:szCs w:val="32"/>
        </w:rPr>
      </w:pPr>
      <w:r>
        <w:rPr>
          <w:rFonts w:ascii="仿宋" w:hAnsi="仿宋" w:eastAsia="仿宋"/>
          <w:szCs w:val="32"/>
        </w:rPr>
        <w:t xml:space="preserve">2. 重污染天气预警期间超标排放大气污染物的； </w:t>
      </w:r>
    </w:p>
    <w:p>
      <w:pPr>
        <w:snapToGrid w:val="0"/>
        <w:spacing w:line="500" w:lineRule="atLeast"/>
        <w:ind w:firstLine="640"/>
        <w:rPr>
          <w:rFonts w:ascii="仿宋" w:hAnsi="仿宋" w:eastAsia="仿宋"/>
          <w:szCs w:val="32"/>
        </w:rPr>
      </w:pPr>
      <w:r>
        <w:rPr>
          <w:rFonts w:ascii="仿宋" w:hAnsi="仿宋" w:eastAsia="仿宋"/>
          <w:szCs w:val="32"/>
        </w:rPr>
        <w:t xml:space="preserve">3. 在案件查处中对执法人员进行威胁、辱骂、殴打、恐吓 </w:t>
      </w:r>
    </w:p>
    <w:p>
      <w:pPr>
        <w:snapToGrid w:val="0"/>
        <w:spacing w:line="500" w:lineRule="atLeast"/>
        <w:ind w:firstLine="0" w:firstLineChars="0"/>
        <w:rPr>
          <w:rFonts w:ascii="仿宋" w:hAnsi="仿宋" w:eastAsia="仿宋"/>
          <w:szCs w:val="32"/>
        </w:rPr>
      </w:pPr>
      <w:r>
        <w:rPr>
          <w:rFonts w:ascii="仿宋" w:hAnsi="仿宋" w:eastAsia="仿宋"/>
          <w:szCs w:val="32"/>
        </w:rPr>
        <w:t xml:space="preserve">或者打击报复，或者对举报人、证人打击报复的； </w:t>
      </w:r>
    </w:p>
    <w:p>
      <w:pPr>
        <w:snapToGrid w:val="0"/>
        <w:spacing w:line="500" w:lineRule="atLeast"/>
        <w:ind w:firstLine="640"/>
        <w:rPr>
          <w:rFonts w:ascii="仿宋" w:hAnsi="仿宋" w:eastAsia="仿宋"/>
          <w:szCs w:val="32"/>
        </w:rPr>
      </w:pPr>
      <w:r>
        <w:rPr>
          <w:rFonts w:ascii="仿宋" w:hAnsi="仿宋" w:eastAsia="仿宋"/>
          <w:szCs w:val="32"/>
        </w:rPr>
        <w:t xml:space="preserve">4. 生态环境违法行为造成跨市级以上（含市级）行政区域 </w:t>
      </w:r>
    </w:p>
    <w:p>
      <w:pPr>
        <w:snapToGrid w:val="0"/>
        <w:spacing w:line="500" w:lineRule="atLeast"/>
        <w:ind w:firstLine="0" w:firstLineChars="0"/>
        <w:rPr>
          <w:rFonts w:ascii="仿宋" w:hAnsi="仿宋" w:eastAsia="仿宋"/>
          <w:szCs w:val="32"/>
        </w:rPr>
      </w:pPr>
      <w:r>
        <w:rPr>
          <w:rFonts w:ascii="仿宋" w:hAnsi="仿宋" w:eastAsia="仿宋"/>
          <w:szCs w:val="32"/>
        </w:rPr>
        <w:t xml:space="preserve">环境污染或者生态破坏的； </w:t>
      </w:r>
    </w:p>
    <w:p>
      <w:pPr>
        <w:snapToGrid w:val="0"/>
        <w:spacing w:line="500" w:lineRule="atLeast"/>
        <w:ind w:firstLine="640"/>
        <w:rPr>
          <w:rFonts w:ascii="仿宋" w:hAnsi="仿宋" w:eastAsia="仿宋"/>
          <w:szCs w:val="32"/>
        </w:rPr>
      </w:pPr>
      <w:r>
        <w:rPr>
          <w:rFonts w:ascii="仿宋" w:hAnsi="仿宋" w:eastAsia="仿宋"/>
          <w:szCs w:val="32"/>
        </w:rPr>
        <w:t xml:space="preserve">5. 生态环境违法行为引起 3 次以上查证属实的环境信访或产生较大负面社会影响的； </w:t>
      </w:r>
    </w:p>
    <w:p>
      <w:pPr>
        <w:snapToGrid w:val="0"/>
        <w:spacing w:line="500" w:lineRule="atLeast"/>
        <w:ind w:firstLine="640"/>
        <w:rPr>
          <w:rFonts w:ascii="仿宋" w:hAnsi="仿宋" w:eastAsia="仿宋"/>
          <w:szCs w:val="32"/>
        </w:rPr>
      </w:pPr>
      <w:r>
        <w:rPr>
          <w:rFonts w:ascii="仿宋" w:hAnsi="仿宋" w:eastAsia="仿宋"/>
          <w:szCs w:val="32"/>
        </w:rPr>
        <w:t xml:space="preserve">6. 转移、隐匿、销毁证据或者提供伪证，掩盖违法事实的； </w:t>
      </w:r>
    </w:p>
    <w:p>
      <w:pPr>
        <w:snapToGrid w:val="0"/>
        <w:spacing w:line="500" w:lineRule="atLeast"/>
        <w:ind w:firstLine="640"/>
        <w:rPr>
          <w:rFonts w:ascii="仿宋" w:hAnsi="仿宋" w:eastAsia="仿宋"/>
          <w:szCs w:val="32"/>
        </w:rPr>
      </w:pPr>
      <w:r>
        <w:rPr>
          <w:rFonts w:ascii="仿宋" w:hAnsi="仿宋" w:eastAsia="仿宋"/>
          <w:szCs w:val="32"/>
        </w:rPr>
        <w:t xml:space="preserve">7. 单位环保信用级别为警示或不良的； </w:t>
      </w:r>
    </w:p>
    <w:p>
      <w:pPr>
        <w:snapToGrid w:val="0"/>
        <w:spacing w:line="500" w:lineRule="atLeast"/>
        <w:ind w:firstLine="640"/>
        <w:rPr>
          <w:rFonts w:ascii="仿宋" w:hAnsi="仿宋" w:eastAsia="仿宋"/>
          <w:szCs w:val="32"/>
        </w:rPr>
      </w:pPr>
      <w:r>
        <w:rPr>
          <w:rFonts w:ascii="仿宋" w:hAnsi="仿宋" w:eastAsia="仿宋"/>
          <w:szCs w:val="32"/>
        </w:rPr>
        <w:t xml:space="preserve">8. 其他具有从重情节的。 </w:t>
      </w:r>
    </w:p>
    <w:p>
      <w:pPr>
        <w:snapToGrid w:val="0"/>
        <w:spacing w:line="500" w:lineRule="atLeast"/>
        <w:ind w:firstLine="640"/>
        <w:rPr>
          <w:rFonts w:ascii="仿宋" w:hAnsi="仿宋" w:eastAsia="仿宋"/>
          <w:szCs w:val="32"/>
        </w:rPr>
      </w:pPr>
      <w:r>
        <w:rPr>
          <w:rFonts w:ascii="仿宋" w:hAnsi="仿宋" w:eastAsia="仿宋"/>
          <w:szCs w:val="32"/>
        </w:rPr>
        <w:t xml:space="preserve">对符合从重处罚情形的案件，可以在裁量基准确定罚款金额的基础上增加一定的百分值，但一般不超过 20%。从重处罚后的罚款金额以最高的法定罚款金额为限。作出从重处罚决定的案件，应当在案卷中附具理由和证据材料。 </w:t>
      </w:r>
    </w:p>
    <w:p>
      <w:pPr>
        <w:snapToGrid w:val="0"/>
        <w:spacing w:line="500" w:lineRule="atLeast"/>
        <w:ind w:firstLine="622"/>
        <w:rPr>
          <w:rFonts w:ascii="仿宋" w:hAnsi="仿宋" w:eastAsia="仿宋"/>
          <w:szCs w:val="32"/>
        </w:rPr>
      </w:pPr>
      <w:r>
        <w:rPr>
          <w:rFonts w:hint="eastAsia" w:ascii="黑体" w:hAnsi="黑体" w:eastAsia="黑体" w:cs="黑体"/>
          <w:b/>
          <w:color w:val="000000"/>
          <w:kern w:val="0"/>
          <w:sz w:val="31"/>
          <w:szCs w:val="31"/>
        </w:rPr>
        <w:t>第</w:t>
      </w:r>
      <w:r>
        <w:rPr>
          <w:rFonts w:hint="eastAsia" w:ascii="黑体" w:hAnsi="黑体" w:eastAsia="黑体" w:cs="黑体"/>
          <w:b/>
          <w:color w:val="000000"/>
          <w:kern w:val="0"/>
          <w:sz w:val="31"/>
          <w:szCs w:val="31"/>
          <w:lang w:eastAsia="zh-CN"/>
        </w:rPr>
        <w:t>九</w:t>
      </w:r>
      <w:r>
        <w:rPr>
          <w:rFonts w:hint="eastAsia" w:ascii="黑体" w:hAnsi="黑体" w:eastAsia="黑体" w:cs="黑体"/>
          <w:b/>
          <w:color w:val="000000"/>
          <w:kern w:val="0"/>
          <w:sz w:val="31"/>
          <w:szCs w:val="31"/>
        </w:rPr>
        <w:t>条</w:t>
      </w:r>
      <w:r>
        <w:rPr>
          <w:rFonts w:ascii="FZFangSong-Z02" w:hAnsi="FZFangSong-Z02" w:eastAsia="FZFangSong-Z02" w:cs="FZFangSong-Z02"/>
          <w:b/>
          <w:color w:val="000000"/>
          <w:kern w:val="0"/>
          <w:sz w:val="31"/>
          <w:szCs w:val="31"/>
        </w:rPr>
        <w:t xml:space="preserve"> </w:t>
      </w:r>
      <w:r>
        <w:rPr>
          <w:rFonts w:ascii="仿宋" w:hAnsi="仿宋" w:eastAsia="仿宋"/>
          <w:szCs w:val="32"/>
        </w:rPr>
        <w:t xml:space="preserve">案件调查取证中，执法人员应当以裁量规则和基准为指导，全面调取有关违法行为和情节的证据。提交行政处罚案件调查终结报告时，应当同时提供违法行为的定性证据、裁量因素证据。执法人员在案件调查取证中确因客观因素未能调取到裁量基准中部分裁量因素的情节和证据，案件调查终结报告中应注明，计算处罚金额时不考虑该项裁量因素。 </w:t>
      </w:r>
    </w:p>
    <w:p>
      <w:pPr>
        <w:snapToGrid w:val="0"/>
        <w:spacing w:line="500" w:lineRule="atLeast"/>
        <w:ind w:firstLine="640"/>
        <w:rPr>
          <w:rFonts w:ascii="仿宋" w:hAnsi="仿宋" w:eastAsia="仿宋"/>
          <w:szCs w:val="32"/>
        </w:rPr>
      </w:pPr>
      <w:r>
        <w:rPr>
          <w:rFonts w:ascii="仿宋" w:hAnsi="仿宋" w:eastAsia="仿宋"/>
          <w:szCs w:val="32"/>
        </w:rPr>
        <w:t xml:space="preserve">生态环境部门的法制部门进行法制审核。如适用裁量未说明理由并附相应证据材料，或者随附证据材料不足的，法制部门应退回执法人员补正。重大执法决定法制审核时，应当对案件的裁量情况和证据进行法制审核，并出具书面的法制审核意见； </w:t>
      </w:r>
    </w:p>
    <w:p>
      <w:pPr>
        <w:snapToGrid w:val="0"/>
        <w:spacing w:line="500" w:lineRule="atLeast"/>
        <w:ind w:firstLine="0" w:firstLineChars="0"/>
        <w:rPr>
          <w:rFonts w:ascii="仿宋" w:hAnsi="仿宋" w:eastAsia="仿宋"/>
          <w:szCs w:val="32"/>
        </w:rPr>
      </w:pPr>
      <w:r>
        <w:rPr>
          <w:rFonts w:ascii="仿宋" w:hAnsi="仿宋" w:eastAsia="仿宋"/>
          <w:szCs w:val="32"/>
        </w:rPr>
        <w:t xml:space="preserve">经集体审议的案件应当专门对案件的裁量情况进行审议，书面记录审议结果，并随案卷归档。 </w:t>
      </w:r>
    </w:p>
    <w:p>
      <w:pPr>
        <w:snapToGrid w:val="0"/>
        <w:spacing w:line="500" w:lineRule="atLeast"/>
        <w:ind w:firstLine="640"/>
      </w:pPr>
      <w:r>
        <w:rPr>
          <w:rFonts w:ascii="仿宋" w:hAnsi="仿宋" w:eastAsia="仿宋"/>
          <w:szCs w:val="32"/>
        </w:rPr>
        <w:t>需突破裁量基准进行处罚的案件，应当经过案件办理</w:t>
      </w:r>
      <w:r>
        <w:rPr>
          <w:rFonts w:hint="eastAsia" w:ascii="仿宋" w:hAnsi="仿宋" w:eastAsia="仿宋"/>
          <w:szCs w:val="32"/>
        </w:rPr>
        <w:t>单位</w:t>
      </w:r>
      <w:r>
        <w:rPr>
          <w:rFonts w:ascii="仿宋" w:hAnsi="仿宋" w:eastAsia="仿宋"/>
          <w:szCs w:val="32"/>
        </w:rPr>
        <w:t xml:space="preserve">集体审议决定，并在案卷中附具理由、案件集体讨论笔录和证据材料。 </w:t>
      </w:r>
    </w:p>
    <w:p>
      <w:pPr>
        <w:widowControl/>
        <w:ind w:firstLine="622"/>
        <w:jc w:val="left"/>
        <w:rPr>
          <w:rFonts w:ascii="仿宋" w:hAnsi="仿宋" w:eastAsia="仿宋"/>
          <w:szCs w:val="32"/>
        </w:rPr>
      </w:pPr>
      <w:r>
        <w:rPr>
          <w:rFonts w:ascii="Times New Roman" w:hAnsi="Times New Roman" w:eastAsia="黑体" w:cs="Times New Roman"/>
          <w:bCs/>
          <w:szCs w:val="32"/>
        </w:rPr>
        <w:t xml:space="preserve">第十条 </w:t>
      </w:r>
      <w:r>
        <w:rPr>
          <w:rFonts w:ascii="仿宋" w:hAnsi="仿宋" w:eastAsia="仿宋"/>
          <w:szCs w:val="32"/>
        </w:rPr>
        <w:t xml:space="preserve">一个违法行为同时违反两个以上法律、法规或者规章条款，应当适用效力等级较高的法律、法规或者规章，效力等级相同的，可以适用处罚较重的条款；实施了两个以上生态环境违法行为，若违法行为之间存在必然因果关系的，应当选择处罚较重的违法行为予以认定，并给予处罚；若违法行为之间不存在必然因果关系的，应当对每个违法行为分别依法给予处罚。 </w:t>
      </w:r>
    </w:p>
    <w:p>
      <w:pPr>
        <w:overflowPunct w:val="0"/>
        <w:adjustRightInd w:val="0"/>
        <w:snapToGrid w:val="0"/>
        <w:ind w:firstLine="622"/>
        <w:rPr>
          <w:rFonts w:ascii="仿宋" w:hAnsi="仿宋" w:eastAsia="仿宋"/>
          <w:szCs w:val="32"/>
        </w:rPr>
      </w:pPr>
      <w:r>
        <w:rPr>
          <w:rFonts w:ascii="Times New Roman" w:hAnsi="Times New Roman" w:eastAsia="黑体" w:cs="Times New Roman"/>
          <w:bCs/>
          <w:szCs w:val="32"/>
        </w:rPr>
        <w:t>第十</w:t>
      </w:r>
      <w:r>
        <w:rPr>
          <w:rFonts w:hint="eastAsia" w:ascii="Times New Roman" w:hAnsi="Times New Roman" w:eastAsia="黑体" w:cs="Times New Roman"/>
          <w:bCs/>
          <w:szCs w:val="32"/>
          <w:lang w:eastAsia="zh-CN"/>
        </w:rPr>
        <w:t>一</w:t>
      </w:r>
      <w:r>
        <w:rPr>
          <w:rFonts w:ascii="Times New Roman" w:hAnsi="Times New Roman" w:eastAsia="黑体" w:cs="Times New Roman"/>
          <w:bCs/>
          <w:szCs w:val="32"/>
        </w:rPr>
        <w:t xml:space="preserve">条 </w:t>
      </w:r>
      <w:r>
        <w:rPr>
          <w:rFonts w:hint="eastAsia" w:ascii="仿宋" w:hAnsi="仿宋" w:eastAsia="仿宋"/>
          <w:szCs w:val="32"/>
          <w:lang w:eastAsia="zh-CN"/>
        </w:rPr>
        <w:t>郑州</w:t>
      </w:r>
      <w:r>
        <w:rPr>
          <w:rFonts w:hint="eastAsia" w:ascii="仿宋" w:hAnsi="仿宋" w:eastAsia="仿宋"/>
          <w:szCs w:val="32"/>
        </w:rPr>
        <w:t>市</w:t>
      </w:r>
      <w:r>
        <w:rPr>
          <w:rFonts w:ascii="仿宋" w:hAnsi="仿宋" w:eastAsia="仿宋"/>
          <w:szCs w:val="32"/>
        </w:rPr>
        <w:t>生态环境行政处罚裁量规则和基准在</w:t>
      </w:r>
      <w:r>
        <w:rPr>
          <w:rFonts w:hint="eastAsia" w:ascii="仿宋" w:hAnsi="仿宋" w:eastAsia="仿宋"/>
          <w:szCs w:val="32"/>
          <w:lang w:eastAsia="zh-CN"/>
        </w:rPr>
        <w:t>郑州市生态环境</w:t>
      </w:r>
      <w:r>
        <w:rPr>
          <w:rFonts w:hint="eastAsia" w:ascii="仿宋" w:hAnsi="仿宋" w:eastAsia="仿宋"/>
          <w:szCs w:val="32"/>
        </w:rPr>
        <w:t>局</w:t>
      </w:r>
      <w:r>
        <w:rPr>
          <w:rFonts w:ascii="仿宋" w:hAnsi="仿宋" w:eastAsia="仿宋"/>
          <w:szCs w:val="32"/>
        </w:rPr>
        <w:t>门户网站公开，接受社会监督。</w:t>
      </w:r>
      <w:r>
        <w:rPr>
          <w:rFonts w:hint="eastAsia" w:ascii="仿宋" w:hAnsi="仿宋" w:eastAsia="仿宋"/>
          <w:szCs w:val="32"/>
        </w:rPr>
        <w:t>对不按裁量规则和基准进行裁量，不规范行使行政处罚自由裁量权构成违纪违法的，依规依纪依法追究责任。</w:t>
      </w:r>
    </w:p>
    <w:p>
      <w:pPr>
        <w:overflowPunct w:val="0"/>
        <w:adjustRightInd w:val="0"/>
        <w:snapToGrid w:val="0"/>
        <w:ind w:firstLine="622"/>
        <w:rPr>
          <w:rFonts w:ascii="Times New Roman" w:hAnsi="Times New Roman" w:cs="仿宋_GB2312"/>
          <w:szCs w:val="32"/>
        </w:rPr>
      </w:pPr>
      <w:r>
        <w:rPr>
          <w:rFonts w:ascii="Times New Roman" w:hAnsi="Times New Roman" w:eastAsia="黑体" w:cs="Times New Roman"/>
          <w:bCs/>
          <w:szCs w:val="32"/>
        </w:rPr>
        <w:t>第十</w:t>
      </w:r>
      <w:r>
        <w:rPr>
          <w:rFonts w:hint="eastAsia" w:ascii="Times New Roman" w:hAnsi="Times New Roman" w:eastAsia="黑体" w:cs="Times New Roman"/>
          <w:bCs/>
          <w:szCs w:val="32"/>
          <w:lang w:eastAsia="zh-CN"/>
        </w:rPr>
        <w:t>二</w:t>
      </w:r>
      <w:r>
        <w:rPr>
          <w:rFonts w:ascii="Times New Roman" w:hAnsi="Times New Roman" w:eastAsia="黑体" w:cs="Times New Roman"/>
          <w:bCs/>
          <w:szCs w:val="32"/>
        </w:rPr>
        <w:t xml:space="preserve">条 </w:t>
      </w:r>
      <w:r>
        <w:rPr>
          <w:rFonts w:hint="eastAsia" w:ascii="Times New Roman" w:hAnsi="Times New Roman" w:cs="仿宋_GB2312"/>
          <w:szCs w:val="32"/>
        </w:rPr>
        <w:t>“两年内未受到过同类处罚”中的“两年内”，是指以当次行为发生之日为起算点往前追溯两年。其他追溯年限参照该方法计算。</w:t>
      </w:r>
    </w:p>
    <w:p>
      <w:pPr>
        <w:overflowPunct w:val="0"/>
        <w:adjustRightInd w:val="0"/>
        <w:snapToGrid w:val="0"/>
        <w:ind w:firstLine="0" w:firstLineChars="0"/>
        <w:rPr>
          <w:rFonts w:ascii="Times New Roman" w:hAnsi="Times New Roman" w:cs="仿宋_GB2312"/>
          <w:szCs w:val="32"/>
        </w:rPr>
      </w:pPr>
      <w:r>
        <w:rPr>
          <w:rFonts w:hint="eastAsia" w:ascii="Times New Roman" w:hAnsi="Times New Roman" w:cs="仿宋_GB2312"/>
          <w:szCs w:val="32"/>
        </w:rPr>
        <w:t xml:space="preserve">    “企业规模”中的“大中小微型企业”参照国家统计局《统计上大中小微型企业划分办法（2017）》认定，如有更新，按最新版本认定。</w:t>
      </w:r>
    </w:p>
    <w:p>
      <w:pPr>
        <w:overflowPunct w:val="0"/>
        <w:adjustRightInd w:val="0"/>
        <w:snapToGrid w:val="0"/>
        <w:ind w:firstLine="0" w:firstLineChars="0"/>
        <w:rPr>
          <w:rFonts w:ascii="Times New Roman" w:hAnsi="Times New Roman" w:cs="仿宋_GB2312"/>
          <w:szCs w:val="32"/>
        </w:rPr>
      </w:pPr>
      <w:r>
        <w:rPr>
          <w:rFonts w:hint="eastAsia" w:ascii="Times New Roman" w:hAnsi="Times New Roman" w:cs="仿宋_GB2312"/>
          <w:szCs w:val="32"/>
        </w:rPr>
        <w:t xml:space="preserve">    本基准中的“以上”含本数，“以下”不含本数。</w:t>
      </w:r>
    </w:p>
    <w:p>
      <w:pPr>
        <w:overflowPunct w:val="0"/>
        <w:adjustRightInd w:val="0"/>
        <w:snapToGrid w:val="0"/>
        <w:ind w:firstLine="640"/>
        <w:rPr>
          <w:rFonts w:ascii="Times New Roman" w:hAnsi="Times New Roman" w:eastAsia="方正仿宋_GBK" w:cs="Times New Roman"/>
          <w:szCs w:val="32"/>
        </w:rPr>
      </w:pPr>
      <w:r>
        <w:rPr>
          <w:rFonts w:hint="eastAsia" w:ascii="Times New Roman" w:hAnsi="Times New Roman" w:cs="仿宋_GB2312"/>
          <w:szCs w:val="32"/>
        </w:rPr>
        <w:t>裁量因素中标注“★”标识的为首要裁量因素。</w:t>
      </w:r>
    </w:p>
    <w:p>
      <w:pPr>
        <w:overflowPunct w:val="0"/>
        <w:adjustRightInd w:val="0"/>
        <w:snapToGrid w:val="0"/>
        <w:ind w:firstLine="640"/>
        <w:rPr>
          <w:rFonts w:ascii="Times New Roman" w:hAnsi="Times New Roman" w:eastAsia="方正仿宋_GBK" w:cs="Times New Roman"/>
          <w:color w:val="FF0000"/>
          <w:szCs w:val="32"/>
        </w:rPr>
      </w:pPr>
      <w:r>
        <w:rPr>
          <w:rFonts w:ascii="Times New Roman" w:hAnsi="Times New Roman" w:eastAsia="黑体" w:cs="Times New Roman"/>
          <w:bCs/>
          <w:szCs w:val="32"/>
        </w:rPr>
        <w:t>第十三条</w:t>
      </w:r>
      <w:r>
        <w:rPr>
          <w:rFonts w:ascii="Times New Roman" w:hAnsi="Times New Roman" w:eastAsia="方正仿宋_GBK" w:cs="Times New Roman"/>
          <w:szCs w:val="32"/>
        </w:rPr>
        <w:t xml:space="preserve">  </w:t>
      </w:r>
      <w:r>
        <w:rPr>
          <w:rFonts w:hint="eastAsia" w:ascii="Times New Roman" w:hAnsi="Times New Roman" w:cs="仿宋_GB2312"/>
          <w:szCs w:val="32"/>
        </w:rPr>
        <w:t>本适用规则自2021年9月</w:t>
      </w:r>
      <w:r>
        <w:rPr>
          <w:rFonts w:hint="eastAsia" w:ascii="Times New Roman" w:hAnsi="Times New Roman" w:cs="仿宋_GB2312"/>
          <w:szCs w:val="32"/>
          <w:lang w:val="en-US" w:eastAsia="zh-CN"/>
        </w:rPr>
        <w:t>15</w:t>
      </w:r>
      <w:r>
        <w:rPr>
          <w:rFonts w:hint="eastAsia" w:ascii="Times New Roman" w:hAnsi="Times New Roman" w:cs="仿宋_GB2312"/>
          <w:szCs w:val="32"/>
        </w:rPr>
        <w:t>日起施行。</w:t>
      </w:r>
    </w:p>
    <w:p>
      <w:pPr>
        <w:overflowPunct w:val="0"/>
        <w:adjustRightInd w:val="0"/>
        <w:snapToGrid w:val="0"/>
        <w:spacing w:line="574" w:lineRule="exact"/>
        <w:ind w:firstLine="640"/>
        <w:rPr>
          <w:rFonts w:ascii="Times New Roman" w:hAnsi="Times New Roman" w:eastAsia="方正仿宋_GBK" w:cs="Times New Roman"/>
          <w:color w:val="FF0000"/>
          <w:szCs w:val="32"/>
        </w:rPr>
      </w:pPr>
    </w:p>
    <w:p>
      <w:pPr>
        <w:spacing w:line="560" w:lineRule="exact"/>
        <w:ind w:firstLine="640"/>
        <w:rPr>
          <w:rFonts w:ascii="Times New Roman" w:hAnsi="Times New Roman" w:eastAsia="方正仿宋_GBK" w:cs="Times New Roman"/>
          <w:color w:val="FF0000"/>
          <w:szCs w:val="32"/>
        </w:rPr>
      </w:pPr>
    </w:p>
    <w:p>
      <w:pPr>
        <w:overflowPunct w:val="0"/>
        <w:adjustRightInd w:val="0"/>
        <w:snapToGrid w:val="0"/>
        <w:spacing w:line="574" w:lineRule="exact"/>
        <w:ind w:firstLine="0" w:firstLineChars="0"/>
        <w:rPr>
          <w:rFonts w:ascii="Times New Roman" w:hAnsi="Times New Roman" w:eastAsia="黑体"/>
          <w:color w:val="000000"/>
          <w:szCs w:val="32"/>
        </w:rPr>
      </w:pPr>
    </w:p>
    <w:p>
      <w:pPr>
        <w:overflowPunct w:val="0"/>
        <w:adjustRightInd w:val="0"/>
        <w:snapToGrid w:val="0"/>
        <w:spacing w:line="574" w:lineRule="exact"/>
        <w:ind w:firstLine="0" w:firstLineChars="0"/>
        <w:rPr>
          <w:rFonts w:ascii="Times New Roman" w:hAnsi="Times New Roman" w:eastAsia="黑体"/>
          <w:color w:val="000000"/>
          <w:szCs w:val="32"/>
        </w:rPr>
      </w:pPr>
    </w:p>
    <w:p>
      <w:pPr>
        <w:overflowPunct w:val="0"/>
        <w:adjustRightInd w:val="0"/>
        <w:snapToGrid w:val="0"/>
        <w:spacing w:line="574" w:lineRule="exact"/>
        <w:ind w:firstLine="0" w:firstLineChars="0"/>
        <w:rPr>
          <w:rFonts w:ascii="Times New Roman" w:hAnsi="Times New Roman" w:eastAsia="黑体"/>
          <w:color w:val="000000"/>
          <w:szCs w:val="32"/>
        </w:rPr>
      </w:pPr>
    </w:p>
    <w:p>
      <w:pPr>
        <w:overflowPunct w:val="0"/>
        <w:adjustRightInd w:val="0"/>
        <w:snapToGrid w:val="0"/>
        <w:spacing w:line="574" w:lineRule="exact"/>
        <w:ind w:firstLine="0" w:firstLineChars="0"/>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郑州市生态环境行政处罚裁量基准</w:t>
      </w:r>
    </w:p>
    <w:p>
      <w:pPr>
        <w:overflowPunct w:val="0"/>
        <w:adjustRightInd w:val="0"/>
        <w:snapToGrid w:val="0"/>
        <w:spacing w:line="574" w:lineRule="exact"/>
        <w:ind w:firstLine="0" w:firstLineChars="0"/>
        <w:rPr>
          <w:rFonts w:hint="default" w:ascii="Times New Roman" w:hAnsi="Times New Roman" w:eastAsia="仿宋_GB2312" w:cs="仿宋_GB2312"/>
          <w:color w:val="000000"/>
          <w:szCs w:val="32"/>
          <w:lang w:val="en-US" w:eastAsia="zh-CN"/>
        </w:rPr>
      </w:pPr>
      <w:r>
        <w:rPr>
          <w:rFonts w:hint="eastAsia" w:ascii="Times New Roman" w:hAnsi="Times New Roman" w:cs="仿宋_GB2312"/>
          <w:color w:val="000000"/>
          <w:szCs w:val="32"/>
          <w:lang w:val="en-US" w:eastAsia="zh-CN"/>
        </w:rPr>
        <w:t xml:space="preserve">    </w:t>
      </w:r>
    </w:p>
    <w:p>
      <w:pPr>
        <w:numPr>
          <w:ilvl w:val="0"/>
          <w:numId w:val="0"/>
        </w:numPr>
        <w:overflowPunct w:val="0"/>
        <w:adjustRightInd w:val="0"/>
        <w:snapToGrid w:val="0"/>
        <w:spacing w:line="574" w:lineRule="exact"/>
        <w:ind w:firstLine="640" w:firstLineChars="200"/>
        <w:jc w:val="left"/>
        <w:rPr>
          <w:rFonts w:ascii="Times New Roman" w:hAnsi="Times New Roman" w:cs="仿宋_GB2312"/>
          <w:color w:val="FF0000"/>
          <w:szCs w:val="32"/>
        </w:rPr>
      </w:pPr>
      <w:r>
        <w:rPr>
          <w:rFonts w:hint="eastAsia" w:ascii="Times New Roman" w:hAnsi="Times New Roman" w:eastAsia="黑体"/>
          <w:color w:val="000000"/>
          <w:szCs w:val="32"/>
          <w:lang w:eastAsia="zh-CN"/>
        </w:rPr>
        <w:t>一、</w:t>
      </w:r>
      <w:r>
        <w:rPr>
          <w:rFonts w:hint="eastAsia" w:ascii="Times New Roman" w:hAnsi="Times New Roman" w:eastAsia="黑体"/>
          <w:color w:val="000000"/>
          <w:szCs w:val="32"/>
        </w:rPr>
        <w:t>大气污染防治类</w:t>
      </w:r>
    </w:p>
    <w:p>
      <w:pPr>
        <w:overflowPunct w:val="0"/>
        <w:adjustRightInd w:val="0"/>
        <w:snapToGrid w:val="0"/>
        <w:spacing w:line="574" w:lineRule="exact"/>
        <w:ind w:left="640" w:firstLine="0" w:firstLineChars="0"/>
        <w:rPr>
          <w:rFonts w:ascii="Times New Roman" w:hAnsi="Times New Roman" w:cs="仿宋_GB2312"/>
          <w:szCs w:val="32"/>
        </w:rPr>
      </w:pPr>
      <w:r>
        <w:rPr>
          <w:rFonts w:hint="eastAsia" w:ascii="Times New Roman" w:hAnsi="Times New Roman" w:cs="仿宋_GB2312"/>
          <w:szCs w:val="32"/>
        </w:rPr>
        <w:t>1.</w:t>
      </w:r>
      <w:r>
        <w:rPr>
          <w:rFonts w:hint="eastAsia" w:ascii="仿宋_GB2312" w:cs="仿宋_GB2312"/>
        </w:rPr>
        <w:t>新建、扩建燃用高污染燃料设施的</w:t>
      </w:r>
    </w:p>
    <w:p>
      <w:pPr>
        <w:overflowPunct w:val="0"/>
        <w:adjustRightInd w:val="0"/>
        <w:snapToGrid w:val="0"/>
        <w:spacing w:line="574" w:lineRule="exact"/>
        <w:ind w:firstLine="640"/>
        <w:rPr>
          <w:rFonts w:ascii="仿宋_GB2312" w:cs="仿宋_GB2312"/>
        </w:rPr>
      </w:pPr>
      <w:r>
        <w:rPr>
          <w:rFonts w:hint="eastAsia" w:ascii="Times New Roman" w:hAnsi="Times New Roman" w:cs="仿宋_GB2312"/>
          <w:szCs w:val="32"/>
        </w:rPr>
        <w:t>2.</w:t>
      </w:r>
      <w:r>
        <w:rPr>
          <w:rFonts w:hint="eastAsia" w:ascii="仿宋_GB2312" w:cs="仿宋_GB2312"/>
        </w:rPr>
        <w:t>在道路抽测或者停放地抽测中，机动车排放污染物超过规定标准的，责令限期治理并复检；逾期不治理的</w:t>
      </w:r>
    </w:p>
    <w:p>
      <w:pPr>
        <w:overflowPunct w:val="0"/>
        <w:adjustRightInd w:val="0"/>
        <w:snapToGrid w:val="0"/>
        <w:spacing w:line="574" w:lineRule="exact"/>
        <w:ind w:firstLine="640"/>
        <w:rPr>
          <w:rFonts w:ascii="仿宋_GB2312" w:cs="仿宋_GB2312"/>
        </w:rPr>
      </w:pPr>
      <w:r>
        <w:rPr>
          <w:rFonts w:hint="eastAsia" w:ascii="仿宋_GB2312" w:cs="仿宋_GB2312"/>
        </w:rPr>
        <w:t>3.</w:t>
      </w:r>
      <w:r>
        <w:rPr>
          <w:rFonts w:hint="eastAsia" w:ascii="仿宋" w:hAnsi="仿宋" w:eastAsia="仿宋" w:cs="仿宋_GB2312"/>
          <w:sz w:val="21"/>
          <w:szCs w:val="21"/>
        </w:rPr>
        <w:t xml:space="preserve"> </w:t>
      </w:r>
      <w:r>
        <w:rPr>
          <w:rFonts w:hint="eastAsia" w:ascii="仿宋_GB2312" w:cs="仿宋_GB2312"/>
        </w:rPr>
        <w:t>机动车排放污染检验机构未与市生态环境部门联网，未向市生态环境主管部门实时上传排放检验数据、视频监控数据以及其他相关管理数据和资料的。</w:t>
      </w:r>
    </w:p>
    <w:p>
      <w:pPr>
        <w:overflowPunct w:val="0"/>
        <w:adjustRightInd w:val="0"/>
        <w:snapToGrid w:val="0"/>
        <w:spacing w:line="574" w:lineRule="exact"/>
        <w:ind w:firstLine="640"/>
        <w:rPr>
          <w:rFonts w:ascii="仿宋_GB2312" w:cs="仿宋_GB2312"/>
        </w:rPr>
      </w:pPr>
      <w:r>
        <w:rPr>
          <w:rFonts w:hint="eastAsia" w:ascii="仿宋_GB2312" w:cs="仿宋_GB2312"/>
        </w:rPr>
        <w:t>4.在人口集中地区和其他依法需要特殊保护的区域内，开设产生恶臭、粉尘污染的修理、加工等场所，贮存、加工、制造或者使用产生恶臭气体物质的</w:t>
      </w:r>
    </w:p>
    <w:p>
      <w:pPr>
        <w:overflowPunct w:val="0"/>
        <w:adjustRightInd w:val="0"/>
        <w:snapToGrid w:val="0"/>
        <w:spacing w:line="574" w:lineRule="exact"/>
        <w:ind w:firstLine="640"/>
        <w:rPr>
          <w:rFonts w:ascii="仿宋_GB2312" w:cs="仿宋_GB2312"/>
        </w:rPr>
      </w:pPr>
      <w:r>
        <w:rPr>
          <w:rFonts w:hint="eastAsia" w:ascii="仿宋_GB2312" w:cs="仿宋_GB2312"/>
        </w:rPr>
        <w:t>5.拒不执行市人民政府责令停产、限产决定的</w:t>
      </w:r>
    </w:p>
    <w:p>
      <w:pPr>
        <w:overflowPunct w:val="0"/>
        <w:adjustRightInd w:val="0"/>
        <w:snapToGrid w:val="0"/>
        <w:spacing w:line="574" w:lineRule="exact"/>
        <w:ind w:firstLine="640"/>
        <w:rPr>
          <w:rFonts w:ascii="仿宋_GB2312" w:cs="仿宋_GB2312"/>
        </w:rPr>
      </w:pPr>
      <w:r>
        <w:rPr>
          <w:rFonts w:hint="eastAsia" w:ascii="仿宋_GB2312" w:cs="仿宋_GB2312"/>
        </w:rPr>
        <w:t>6.超出规定的期限仍使用高污染燃料的</w:t>
      </w:r>
    </w:p>
    <w:p>
      <w:pPr>
        <w:overflowPunct w:val="0"/>
        <w:adjustRightInd w:val="0"/>
        <w:snapToGrid w:val="0"/>
        <w:spacing w:line="574" w:lineRule="exact"/>
        <w:ind w:firstLine="640"/>
        <w:rPr>
          <w:rFonts w:ascii="仿宋_GB2312" w:cs="仿宋_GB2312"/>
        </w:rPr>
      </w:pPr>
      <w:r>
        <w:rPr>
          <w:rFonts w:hint="eastAsia" w:ascii="仿宋_GB2312" w:cs="仿宋_GB2312"/>
        </w:rPr>
        <w:t>7.</w:t>
      </w:r>
      <w:r>
        <w:rPr>
          <w:rFonts w:ascii="仿宋_GB2312" w:cs="仿宋_GB2312"/>
        </w:rPr>
        <w:t xml:space="preserve"> </w:t>
      </w:r>
      <w:r>
        <w:rPr>
          <w:rFonts w:hint="eastAsia" w:ascii="仿宋_GB2312" w:cs="仿宋_GB2312"/>
        </w:rPr>
        <w:t>提供饮食、洗浴、住宿等服务的单位和个人，未使用天然气、液化石油气、电或者其他清洁能源的</w:t>
      </w:r>
    </w:p>
    <w:p>
      <w:pPr>
        <w:overflowPunct w:val="0"/>
        <w:adjustRightInd w:val="0"/>
        <w:snapToGrid w:val="0"/>
        <w:spacing w:line="574" w:lineRule="exact"/>
        <w:ind w:firstLine="640"/>
        <w:rPr>
          <w:rFonts w:ascii="仿宋_GB2312" w:cs="仿宋_GB2312"/>
        </w:rPr>
      </w:pPr>
      <w:r>
        <w:rPr>
          <w:rFonts w:hint="eastAsia" w:ascii="仿宋_GB2312" w:cs="仿宋_GB2312"/>
        </w:rPr>
        <w:t>8.工业企业堆存、装卸作业单位或者个人未采取扬尘污染防治措施的</w:t>
      </w:r>
    </w:p>
    <w:p>
      <w:pPr>
        <w:overflowPunct w:val="0"/>
        <w:adjustRightInd w:val="0"/>
        <w:snapToGrid w:val="0"/>
        <w:spacing w:line="574" w:lineRule="exact"/>
        <w:ind w:firstLine="640"/>
        <w:rPr>
          <w:rFonts w:ascii="仿宋_GB2312" w:cs="仿宋_GB2312"/>
        </w:rPr>
      </w:pPr>
      <w:r>
        <w:rPr>
          <w:rFonts w:hint="eastAsia" w:ascii="仿宋_GB2312" w:cs="仿宋_GB2312"/>
        </w:rPr>
        <w:t>9.露天焚烧沥青、油毡、废油、橡胶、塑料、皮革、垃圾等产生有毒有害气体的</w:t>
      </w:r>
    </w:p>
    <w:p>
      <w:pPr>
        <w:overflowPunct w:val="0"/>
        <w:adjustRightInd w:val="0"/>
        <w:snapToGrid w:val="0"/>
        <w:spacing w:line="574" w:lineRule="exact"/>
        <w:ind w:firstLine="480" w:firstLineChars="150"/>
        <w:rPr>
          <w:rFonts w:ascii="仿宋" w:hAnsi="仿宋" w:eastAsia="仿宋"/>
          <w:szCs w:val="32"/>
        </w:rPr>
      </w:pPr>
      <w:r>
        <w:rPr>
          <w:rFonts w:hint="eastAsia" w:ascii="仿宋" w:hAnsi="仿宋" w:eastAsia="仿宋"/>
          <w:szCs w:val="32"/>
        </w:rPr>
        <w:t xml:space="preserve"> 10.机动车排放检验机构未公开检验流程、排放限值、收费标准和监督投诉电话的</w:t>
      </w:r>
    </w:p>
    <w:p>
      <w:pPr>
        <w:overflowPunct w:val="0"/>
        <w:adjustRightInd w:val="0"/>
        <w:snapToGrid w:val="0"/>
        <w:spacing w:line="574" w:lineRule="exact"/>
        <w:ind w:firstLine="640"/>
        <w:rPr>
          <w:rFonts w:ascii="仿宋" w:hAnsi="仿宋" w:eastAsia="仿宋"/>
          <w:szCs w:val="32"/>
        </w:rPr>
      </w:pPr>
      <w:r>
        <w:rPr>
          <w:rFonts w:hint="eastAsia" w:ascii="仿宋" w:hAnsi="仿宋" w:eastAsia="仿宋"/>
          <w:szCs w:val="32"/>
        </w:rPr>
        <w:t>11.机动车排放检验机构从事或者变相从事机动车排放污染维修治理的</w:t>
      </w:r>
    </w:p>
    <w:p>
      <w:pPr>
        <w:overflowPunct w:val="0"/>
        <w:adjustRightInd w:val="0"/>
        <w:snapToGrid w:val="0"/>
        <w:spacing w:line="574" w:lineRule="exact"/>
        <w:ind w:firstLine="640"/>
        <w:rPr>
          <w:rFonts w:ascii="仿宋" w:hAnsi="仿宋" w:eastAsia="仿宋"/>
          <w:szCs w:val="32"/>
        </w:rPr>
      </w:pPr>
      <w:r>
        <w:rPr>
          <w:rFonts w:hint="eastAsia" w:ascii="仿宋" w:hAnsi="仿宋" w:eastAsia="仿宋"/>
          <w:szCs w:val="32"/>
        </w:rPr>
        <w:t>12.违反重污染天气应急措施规定使用重型柴油车或者非道路移动机械的</w:t>
      </w: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p>
      <w:pPr>
        <w:overflowPunct w:val="0"/>
        <w:adjustRightInd w:val="0"/>
        <w:snapToGrid w:val="0"/>
        <w:spacing w:line="574" w:lineRule="exact"/>
        <w:ind w:firstLine="640"/>
        <w:rPr>
          <w:rFonts w:ascii="仿宋" w:hAnsi="仿宋" w:eastAsia="仿宋"/>
          <w:color w:val="000000"/>
          <w:szCs w:val="32"/>
        </w:rPr>
      </w:pPr>
    </w:p>
    <w:tbl>
      <w:tblPr>
        <w:tblStyle w:val="11"/>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92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spacing w:line="380" w:lineRule="exact"/>
              <w:ind w:firstLine="422"/>
              <w:jc w:val="center"/>
              <w:rPr>
                <w:rFonts w:ascii="Times New Roman" w:hAnsi="Times New Roman" w:cs="Times New Roman"/>
                <w:color w:val="000000"/>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序号</w:t>
            </w:r>
          </w:p>
        </w:tc>
        <w:tc>
          <w:tcPr>
            <w:tcW w:w="7938" w:type="dxa"/>
            <w:gridSpan w:val="2"/>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违法行为</w:t>
            </w:r>
          </w:p>
        </w:tc>
        <w:tc>
          <w:tcPr>
            <w:tcW w:w="7938" w:type="dxa"/>
            <w:gridSpan w:val="2"/>
            <w:vAlign w:val="center"/>
          </w:tcPr>
          <w:p>
            <w:pPr>
              <w:snapToGrid w:val="0"/>
              <w:spacing w:beforeLines="20" w:line="380" w:lineRule="exact"/>
              <w:ind w:left="0" w:leftChars="0" w:firstLine="0" w:firstLineChars="0"/>
              <w:jc w:val="center"/>
              <w:rPr>
                <w:rFonts w:ascii="Times New Roman" w:hAnsi="Times New Roman" w:cs="Times New Roman"/>
                <w:sz w:val="21"/>
                <w:szCs w:val="21"/>
              </w:rPr>
            </w:pPr>
            <w:r>
              <w:rPr>
                <w:rFonts w:hint="eastAsia" w:ascii="仿宋_GB2312" w:cs="仿宋_GB2312"/>
                <w:sz w:val="21"/>
                <w:szCs w:val="21"/>
              </w:rPr>
              <w:t>新建、扩建燃用高污染燃料设施的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违反条款</w:t>
            </w:r>
          </w:p>
        </w:tc>
        <w:tc>
          <w:tcPr>
            <w:tcW w:w="7938" w:type="dxa"/>
            <w:gridSpan w:val="2"/>
          </w:tcPr>
          <w:p>
            <w:pPr>
              <w:spacing w:line="240" w:lineRule="exact"/>
              <w:rPr>
                <w:rFonts w:ascii="Times New Roman" w:hAnsi="Times New Roman" w:cs="Times New Roman"/>
                <w:sz w:val="21"/>
                <w:szCs w:val="21"/>
              </w:rPr>
            </w:pPr>
            <w:r>
              <w:rPr>
                <w:rFonts w:hint="eastAsia" w:ascii="仿宋" w:hAnsi="仿宋" w:eastAsia="仿宋" w:cs="仿宋_GB2312"/>
                <w:sz w:val="21"/>
                <w:szCs w:val="21"/>
              </w:rPr>
              <w:t>《郑州市大气污染防治条例》第二十九条  禁止新建、扩建燃用高污染燃料的设施。原有使用高污染燃料的设施，应当按照规定改用清洁能源。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处罚依据</w:t>
            </w:r>
          </w:p>
        </w:tc>
        <w:tc>
          <w:tcPr>
            <w:tcW w:w="7938" w:type="dxa"/>
            <w:gridSpan w:val="2"/>
          </w:tcPr>
          <w:p>
            <w:pPr>
              <w:spacing w:line="240" w:lineRule="exact"/>
              <w:rPr>
                <w:rFonts w:hint="eastAsia" w:ascii="仿宋" w:hAnsi="仿宋" w:eastAsia="仿宋" w:cs="仿宋_GB2312"/>
                <w:sz w:val="21"/>
                <w:szCs w:val="21"/>
              </w:rPr>
            </w:pPr>
            <w:r>
              <w:rPr>
                <w:rFonts w:hint="eastAsia" w:ascii="仿宋" w:hAnsi="仿宋" w:eastAsia="仿宋" w:cs="仿宋_GB2312"/>
                <w:sz w:val="21"/>
                <w:szCs w:val="21"/>
              </w:rPr>
              <w:t>《郑州市大气污染防治条例》第五十六条  违反本条例规定，有下列行为之一的，由市、县（市、区）生态环境主管部门按照下列规定予以处罚：</w:t>
            </w:r>
          </w:p>
          <w:p>
            <w:pPr>
              <w:spacing w:line="240" w:lineRule="exact"/>
              <w:rPr>
                <w:rFonts w:ascii="Times New Roman" w:hAnsi="Times New Roman" w:cs="Times New Roman"/>
                <w:sz w:val="21"/>
                <w:szCs w:val="21"/>
              </w:rPr>
            </w:pPr>
            <w:r>
              <w:rPr>
                <w:rFonts w:hint="eastAsia" w:ascii="仿宋" w:hAnsi="仿宋" w:eastAsia="仿宋" w:cs="仿宋_GB2312"/>
                <w:sz w:val="21"/>
                <w:szCs w:val="21"/>
              </w:rPr>
              <w:t>（三）违反本条例第二十九条规定，新建、扩建燃用高污染燃料设施的，没收燃用高污染燃料的设施，处二万元以上二十万元以下罚款；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裁量因素</w:t>
            </w:r>
          </w:p>
        </w:tc>
        <w:tc>
          <w:tcPr>
            <w:tcW w:w="5925" w:type="dxa"/>
            <w:vAlign w:val="center"/>
          </w:tcPr>
          <w:p>
            <w:pPr>
              <w:snapToGrid w:val="0"/>
              <w:spacing w:line="380" w:lineRule="exact"/>
              <w:ind w:firstLine="422"/>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判定标准</w:t>
            </w:r>
          </w:p>
        </w:tc>
        <w:tc>
          <w:tcPr>
            <w:tcW w:w="2013" w:type="dxa"/>
            <w:vAlign w:val="center"/>
          </w:tcPr>
          <w:p>
            <w:pPr>
              <w:snapToGrid w:val="0"/>
              <w:spacing w:line="240" w:lineRule="exact"/>
              <w:ind w:firstLine="422"/>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80" w:lineRule="exact"/>
              <w:ind w:firstLine="0" w:firstLineChars="0"/>
              <w:rPr>
                <w:rFonts w:ascii="Times New Roman" w:hAnsi="Times New Roman" w:cs="Times New Roman"/>
                <w:b/>
                <w:bCs/>
                <w:color w:val="000000"/>
                <w:sz w:val="21"/>
                <w:szCs w:val="21"/>
              </w:rPr>
            </w:pPr>
            <w:r>
              <w:rPr>
                <w:rFonts w:hint="eastAsia" w:ascii="仿宋_GB2312" w:hAnsi="仿宋_GB2312" w:cs="仿宋_GB2312"/>
                <w:b/>
                <w:bCs/>
                <w:color w:val="000000"/>
                <w:sz w:val="21"/>
                <w:szCs w:val="21"/>
              </w:rPr>
              <w:t>★</w:t>
            </w:r>
            <w:r>
              <w:rPr>
                <w:rFonts w:hint="eastAsia" w:ascii="Times New Roman" w:hAnsi="Times New Roman" w:cs="宋体"/>
                <w:b/>
                <w:bCs/>
                <w:color w:val="000000"/>
                <w:sz w:val="21"/>
                <w:szCs w:val="21"/>
              </w:rPr>
              <w:t>违法事实</w:t>
            </w: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燃用高污染燃料设施已开工建设但未建成的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燃用高污染燃料设施已建成但未投入使用的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仿宋_GB2312"/>
                <w:sz w:val="21"/>
                <w:szCs w:val="21"/>
              </w:rPr>
            </w:pPr>
            <w:r>
              <w:rPr>
                <w:rFonts w:hint="eastAsia" w:ascii="Times New Roman" w:hAnsi="Times New Roman" w:cs="仿宋_GB2312"/>
                <w:sz w:val="21"/>
                <w:szCs w:val="21"/>
              </w:rPr>
              <w:t>设施已建成投用或者未按照规定停止燃用高污染燃料</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污染防治设施建设使用情况</w:t>
            </w: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已按照规定安装污染防治设施，且规范使用的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未规范安装污染防治设施，或者未规范使用的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未安装污染防治设施的，或者未使用的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项目建设地点</w:t>
            </w: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color w:val="000000"/>
                <w:sz w:val="21"/>
                <w:szCs w:val="21"/>
              </w:rPr>
              <w:t>居住区、商业交通居民混合区、文化区、工业区和农村地区</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color w:val="000000"/>
                <w:sz w:val="21"/>
                <w:szCs w:val="21"/>
              </w:rPr>
              <w:t>自然保护区、风景名胜区和其他需要特殊保护的区域</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违法次数</w:t>
            </w:r>
          </w:p>
        </w:tc>
        <w:tc>
          <w:tcPr>
            <w:tcW w:w="5925" w:type="dxa"/>
            <w:vAlign w:val="center"/>
          </w:tcPr>
          <w:p>
            <w:pPr>
              <w:snapToGrid w:val="0"/>
              <w:spacing w:line="380" w:lineRule="exact"/>
              <w:jc w:val="center"/>
              <w:rPr>
                <w:rFonts w:ascii="Times New Roman" w:hAnsi="Times New Roman" w:cs="Times New Roman"/>
                <w:sz w:val="21"/>
                <w:szCs w:val="21"/>
              </w:rPr>
            </w:pPr>
            <w:r>
              <w:rPr>
                <w:rFonts w:hint="eastAsia" w:ascii="Times New Roman" w:hAnsi="Times New Roman" w:cs="仿宋_GB2312"/>
                <w:sz w:val="21"/>
                <w:szCs w:val="21"/>
              </w:rPr>
              <w:t>两年内未受到过同类处罚</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仿宋_GB2312"/>
                <w:color w:val="000000"/>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1</w:t>
            </w:r>
            <w:r>
              <w:rPr>
                <w:rFonts w:hint="eastAsia" w:ascii="Times New Roman" w:hAnsi="Times New Roman" w:cs="仿宋_GB2312"/>
                <w:sz w:val="21"/>
                <w:szCs w:val="21"/>
              </w:rPr>
              <w:t>次</w:t>
            </w:r>
          </w:p>
        </w:tc>
        <w:tc>
          <w:tcPr>
            <w:tcW w:w="2013" w:type="dxa"/>
            <w:vAlign w:val="center"/>
          </w:tcPr>
          <w:p>
            <w:pPr>
              <w:snapToGrid w:val="0"/>
              <w:spacing w:line="240" w:lineRule="exact"/>
              <w:jc w:val="center"/>
              <w:rPr>
                <w:rFonts w:ascii="Times New Roman" w:hAnsi="Times New Roman" w:cs="Times New Roman"/>
                <w:color w:val="000000"/>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仿宋_GB2312"/>
                <w:color w:val="000000"/>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2</w:t>
            </w:r>
            <w:r>
              <w:rPr>
                <w:rFonts w:hint="eastAsia" w:ascii="Times New Roman" w:hAnsi="Times New Roman" w:cs="仿宋_GB2312"/>
                <w:sz w:val="21"/>
                <w:szCs w:val="21"/>
              </w:rPr>
              <w:t>次及以上</w:t>
            </w:r>
          </w:p>
        </w:tc>
        <w:tc>
          <w:tcPr>
            <w:tcW w:w="2013" w:type="dxa"/>
            <w:vAlign w:val="center"/>
          </w:tcPr>
          <w:p>
            <w:pPr>
              <w:snapToGrid w:val="0"/>
              <w:spacing w:line="240" w:lineRule="exact"/>
              <w:jc w:val="center"/>
              <w:rPr>
                <w:rFonts w:ascii="Times New Roman" w:hAnsi="Times New Roman" w:cs="Times New Roman"/>
                <w:color w:val="000000"/>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是否配合执法检查</w:t>
            </w:r>
          </w:p>
        </w:tc>
        <w:tc>
          <w:tcPr>
            <w:tcW w:w="5925" w:type="dxa"/>
            <w:vAlign w:val="center"/>
          </w:tcPr>
          <w:p>
            <w:pPr>
              <w:snapToGrid w:val="0"/>
              <w:spacing w:line="38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配合调查</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不配合调查，拒绝提供证据</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380" w:lineRule="exact"/>
              <w:ind w:firstLine="422"/>
              <w:jc w:val="center"/>
              <w:rPr>
                <w:rFonts w:ascii="Times New Roman" w:hAnsi="Times New Roman" w:cs="Times New Roman"/>
                <w:b/>
                <w:bCs/>
                <w:color w:val="000000"/>
                <w:sz w:val="21"/>
                <w:szCs w:val="21"/>
              </w:rPr>
            </w:pPr>
          </w:p>
        </w:tc>
        <w:tc>
          <w:tcPr>
            <w:tcW w:w="5925" w:type="dxa"/>
            <w:vAlign w:val="center"/>
          </w:tcPr>
          <w:p>
            <w:pPr>
              <w:snapToGrid w:val="0"/>
              <w:spacing w:line="38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伪造变造证据、弄虚作假的</w:t>
            </w:r>
          </w:p>
        </w:tc>
        <w:tc>
          <w:tcPr>
            <w:tcW w:w="2013"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380" w:lineRule="exact"/>
              <w:ind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备注</w:t>
            </w:r>
          </w:p>
        </w:tc>
        <w:tc>
          <w:tcPr>
            <w:tcW w:w="7938" w:type="dxa"/>
            <w:gridSpan w:val="2"/>
            <w:vAlign w:val="center"/>
          </w:tcPr>
          <w:p>
            <w:pPr>
              <w:snapToGrid w:val="0"/>
              <w:spacing w:line="380" w:lineRule="exact"/>
              <w:jc w:val="center"/>
              <w:rPr>
                <w:rFonts w:ascii="Times New Roman" w:hAnsi="Times New Roman" w:cs="Times New Roman"/>
                <w:color w:val="000000"/>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tbl>
      <w:tblPr>
        <w:tblStyle w:val="11"/>
        <w:tblW w:w="0" w:type="auto"/>
        <w:jc w:val="center"/>
        <w:tblLayout w:type="autofit"/>
        <w:tblCellMar>
          <w:top w:w="0" w:type="dxa"/>
          <w:left w:w="108" w:type="dxa"/>
          <w:bottom w:w="0" w:type="dxa"/>
          <w:right w:w="108" w:type="dxa"/>
        </w:tblCellMar>
      </w:tblPr>
      <w:tblGrid>
        <w:gridCol w:w="1041"/>
        <w:gridCol w:w="6571"/>
        <w:gridCol w:w="1262"/>
      </w:tblGrid>
      <w:tr>
        <w:tblPrEx>
          <w:tblCellMar>
            <w:top w:w="0" w:type="dxa"/>
            <w:left w:w="108" w:type="dxa"/>
            <w:bottom w:w="0" w:type="dxa"/>
            <w:right w:w="108" w:type="dxa"/>
          </w:tblCellMar>
        </w:tblPrEx>
        <w:trPr>
          <w:trHeight w:val="450" w:hRule="atLeast"/>
          <w:jc w:val="center"/>
        </w:trPr>
        <w:tc>
          <w:tcPr>
            <w:tcW w:w="0" w:type="auto"/>
            <w:gridSpan w:val="3"/>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郑州市大气污染防治类</w:t>
            </w:r>
          </w:p>
        </w:tc>
      </w:tr>
      <w:tr>
        <w:tblPrEx>
          <w:tblCellMar>
            <w:top w:w="0" w:type="dxa"/>
            <w:left w:w="108" w:type="dxa"/>
            <w:bottom w:w="0" w:type="dxa"/>
            <w:right w:w="108" w:type="dxa"/>
          </w:tblCellMar>
        </w:tblPrEx>
        <w:trPr>
          <w:trHeight w:val="380" w:hRule="atLeast"/>
          <w:jc w:val="center"/>
        </w:trPr>
        <w:tc>
          <w:tcPr>
            <w:tcW w:w="10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833"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2</w:t>
            </w:r>
          </w:p>
        </w:tc>
      </w:tr>
      <w:tr>
        <w:tblPrEx>
          <w:tblCellMar>
            <w:top w:w="0" w:type="dxa"/>
            <w:left w:w="108" w:type="dxa"/>
            <w:bottom w:w="0" w:type="dxa"/>
            <w:right w:w="108" w:type="dxa"/>
          </w:tblCellMar>
        </w:tblPrEx>
        <w:trPr>
          <w:trHeight w:val="515" w:hRule="atLeast"/>
          <w:jc w:val="center"/>
        </w:trPr>
        <w:tc>
          <w:tcPr>
            <w:tcW w:w="104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tc>
        <w:tc>
          <w:tcPr>
            <w:tcW w:w="7833"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jc w:val="left"/>
              <w:textAlignment w:val="center"/>
              <w:rPr>
                <w:rFonts w:ascii="Times New Roman" w:hAnsi="Times New Roman" w:cs="仿宋_GB2312"/>
                <w:sz w:val="21"/>
                <w:szCs w:val="21"/>
              </w:rPr>
            </w:pPr>
            <w:r>
              <w:rPr>
                <w:rFonts w:hint="eastAsia" w:ascii="仿宋_GB2312" w:cs="仿宋_GB2312"/>
                <w:sz w:val="21"/>
                <w:szCs w:val="21"/>
              </w:rPr>
              <w:t>在道路抽测或者停放地抽测中机动车排放污染物超过规定标准责令限期治理，逾期不治理的</w:t>
            </w:r>
          </w:p>
        </w:tc>
      </w:tr>
      <w:tr>
        <w:tblPrEx>
          <w:tblCellMar>
            <w:top w:w="0" w:type="dxa"/>
            <w:left w:w="108" w:type="dxa"/>
            <w:bottom w:w="0" w:type="dxa"/>
            <w:right w:w="108" w:type="dxa"/>
          </w:tblCellMar>
        </w:tblPrEx>
        <w:trPr>
          <w:trHeight w:val="90" w:hRule="atLeast"/>
          <w:jc w:val="center"/>
        </w:trPr>
        <w:tc>
          <w:tcPr>
            <w:tcW w:w="1041"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违反条款</w:t>
            </w:r>
          </w:p>
        </w:tc>
        <w:tc>
          <w:tcPr>
            <w:tcW w:w="7833" w:type="dxa"/>
            <w:gridSpan w:val="2"/>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630" w:firstLineChars="300"/>
              <w:jc w:val="left"/>
              <w:textAlignment w:val="center"/>
              <w:rPr>
                <w:rFonts w:ascii="仿宋_GB2312" w:cs="Times New Roman"/>
                <w:sz w:val="21"/>
                <w:szCs w:val="21"/>
              </w:rPr>
            </w:pPr>
            <w:r>
              <w:rPr>
                <w:rFonts w:hint="eastAsia" w:ascii="Times New Roman" w:hAnsi="Times New Roman" w:cs="仿宋_GB2312"/>
                <w:sz w:val="21"/>
                <w:szCs w:val="21"/>
              </w:rPr>
              <w:t>《郑州市大气污染防治条例》</w:t>
            </w:r>
            <w:r>
              <w:rPr>
                <w:rFonts w:hint="eastAsia" w:ascii="仿宋_GB2312"/>
                <w:sz w:val="21"/>
                <w:szCs w:val="21"/>
              </w:rPr>
              <w:t>第三十三条</w:t>
            </w:r>
            <w:r>
              <w:rPr>
                <w:rFonts w:ascii="仿宋_GB2312" w:cs="仿宋_GB2312"/>
                <w:sz w:val="21"/>
                <w:szCs w:val="21"/>
              </w:rPr>
              <w:t xml:space="preserve">  </w:t>
            </w:r>
            <w:r>
              <w:rPr>
                <w:rFonts w:hint="eastAsia" w:ascii="仿宋_GB2312" w:cs="仿宋_GB2312"/>
                <w:sz w:val="21"/>
                <w:szCs w:val="21"/>
              </w:rPr>
              <w:t>污染物排放超过国家和省规定排放标准的机动车，不得上路行驶。</w:t>
            </w:r>
          </w:p>
          <w:p>
            <w:pPr>
              <w:snapToGrid w:val="0"/>
              <w:spacing w:line="240" w:lineRule="exact"/>
              <w:rPr>
                <w:rFonts w:ascii="仿宋_GB2312" w:cs="Times New Roman"/>
                <w:sz w:val="21"/>
                <w:szCs w:val="21"/>
              </w:rPr>
            </w:pPr>
            <w:r>
              <w:rPr>
                <w:rFonts w:hint="eastAsia" w:ascii="仿宋_GB2312" w:cs="仿宋_GB2312"/>
                <w:sz w:val="21"/>
                <w:szCs w:val="21"/>
              </w:rPr>
              <w:t>市、县（市、区）生态环境主管部门在公安机关交通管理部门的配合下，可以选择时间和路段，利用遥感检测等技术对道路上行驶的机动车污染物排放情况进行监督抽测。抽测不合格的，责令限期治理并复检，由公安机关交通管理部门暂扣其机动车行驶证；复检合格的，当日发还机动车行驶证。</w:t>
            </w:r>
          </w:p>
          <w:p>
            <w:pPr>
              <w:widowControl/>
              <w:adjustRightInd w:val="0"/>
              <w:snapToGrid w:val="0"/>
              <w:spacing w:line="240" w:lineRule="exact"/>
              <w:ind w:firstLine="570" w:firstLineChars="0"/>
              <w:jc w:val="left"/>
              <w:textAlignment w:val="center"/>
              <w:rPr>
                <w:rFonts w:ascii="Times New Roman" w:hAnsi="Times New Roman" w:cs="仿宋_GB2312"/>
                <w:sz w:val="21"/>
                <w:szCs w:val="21"/>
              </w:rPr>
            </w:pPr>
            <w:r>
              <w:rPr>
                <w:rFonts w:hint="eastAsia" w:ascii="仿宋_GB2312"/>
                <w:sz w:val="21"/>
                <w:szCs w:val="21"/>
              </w:rPr>
              <w:t>第三十四条</w:t>
            </w:r>
            <w:r>
              <w:rPr>
                <w:rFonts w:ascii="仿宋_GB2312" w:cs="仿宋_GB2312"/>
                <w:sz w:val="21"/>
                <w:szCs w:val="21"/>
              </w:rPr>
              <w:t xml:space="preserve">  </w:t>
            </w:r>
            <w:r>
              <w:rPr>
                <w:rFonts w:hint="eastAsia" w:ascii="仿宋_GB2312" w:cs="仿宋_GB2312"/>
                <w:sz w:val="21"/>
                <w:szCs w:val="21"/>
              </w:rPr>
              <w:t>市、县（市、区）生态环境主管部门可以在机动车停放地对在用机动车污染物排放情况进行监督抽测。抽测不合格的，责令限期治理并复检。被抽测的机动车停放地管理单位、机动车所有人或者驾驶人员应当配合。</w:t>
            </w:r>
          </w:p>
        </w:tc>
      </w:tr>
      <w:tr>
        <w:tblPrEx>
          <w:tblCellMar>
            <w:top w:w="0" w:type="dxa"/>
            <w:left w:w="108" w:type="dxa"/>
            <w:bottom w:w="0" w:type="dxa"/>
            <w:right w:w="108" w:type="dxa"/>
          </w:tblCellMar>
        </w:tblPrEx>
        <w:trPr>
          <w:trHeight w:val="1558" w:hRule="atLeast"/>
          <w:jc w:val="center"/>
        </w:trPr>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处罚依据</w:t>
            </w:r>
          </w:p>
        </w:tc>
        <w:tc>
          <w:tcPr>
            <w:tcW w:w="78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jc w:val="left"/>
              <w:textAlignment w:val="center"/>
              <w:rPr>
                <w:rFonts w:ascii="Times New Roman" w:hAnsi="Times New Roman" w:cs="仿宋_GB2312"/>
                <w:sz w:val="21"/>
                <w:szCs w:val="21"/>
              </w:rPr>
            </w:pPr>
            <w:r>
              <w:rPr>
                <w:rFonts w:hint="eastAsia" w:ascii="Times New Roman" w:hAnsi="Times New Roman" w:cs="仿宋_GB2312"/>
                <w:sz w:val="21"/>
                <w:szCs w:val="21"/>
              </w:rPr>
              <w:t>《郑州市大气污染防治条例》第五十六条</w:t>
            </w:r>
            <w:r>
              <w:rPr>
                <w:rFonts w:ascii="Times New Roman" w:hAnsi="Times New Roman" w:cs="仿宋_GB2312"/>
                <w:sz w:val="21"/>
                <w:szCs w:val="21"/>
              </w:rPr>
              <w:t xml:space="preserve">  </w:t>
            </w:r>
            <w:r>
              <w:rPr>
                <w:rFonts w:hint="eastAsia" w:ascii="Times New Roman" w:hAnsi="Times New Roman" w:cs="仿宋_GB2312"/>
                <w:sz w:val="21"/>
                <w:szCs w:val="21"/>
              </w:rPr>
              <w:t>违反本条例规定，有下列行为之一的，由市、县（市、区）生态环境主管部门按照下列规定予以处罚：</w:t>
            </w:r>
          </w:p>
          <w:p>
            <w:pPr>
              <w:widowControl/>
              <w:adjustRightInd w:val="0"/>
              <w:snapToGrid w:val="0"/>
              <w:spacing w:line="240" w:lineRule="exact"/>
              <w:ind w:firstLine="0" w:firstLineChars="0"/>
              <w:textAlignment w:val="center"/>
              <w:rPr>
                <w:rFonts w:ascii="Times New Roman" w:hAnsi="Times New Roman" w:cs="仿宋_GB2312"/>
                <w:sz w:val="21"/>
                <w:szCs w:val="21"/>
              </w:rPr>
            </w:pPr>
            <w:r>
              <w:rPr>
                <w:rFonts w:hint="eastAsia" w:ascii="Times New Roman" w:hAnsi="Times New Roman" w:cs="仿宋_GB2312"/>
                <w:sz w:val="21"/>
                <w:szCs w:val="21"/>
              </w:rPr>
              <w:t>　　（四）违反本条例规定，在道路抽测或者停放地抽测中，机动车排放污染物超过规定标准的，责令限期治理并复检；逾期不治理的，处五十元以上五百元以下罚款；</w:t>
            </w:r>
          </w:p>
        </w:tc>
      </w:tr>
      <w:tr>
        <w:tblPrEx>
          <w:tblCellMar>
            <w:top w:w="0" w:type="dxa"/>
            <w:left w:w="108" w:type="dxa"/>
            <w:bottom w:w="0" w:type="dxa"/>
            <w:right w:w="108" w:type="dxa"/>
          </w:tblCellMar>
        </w:tblPrEx>
        <w:trPr>
          <w:trHeight w:val="395" w:hRule="atLeast"/>
          <w:jc w:val="center"/>
        </w:trPr>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裁量因素</w:t>
            </w: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判定标准</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裁量等级</w:t>
            </w:r>
          </w:p>
        </w:tc>
      </w:tr>
      <w:tr>
        <w:tblPrEx>
          <w:tblCellMar>
            <w:top w:w="0" w:type="dxa"/>
            <w:left w:w="108" w:type="dxa"/>
            <w:bottom w:w="0" w:type="dxa"/>
            <w:right w:w="108" w:type="dxa"/>
          </w:tblCellMar>
        </w:tblPrEx>
        <w:trPr>
          <w:trHeight w:val="482" w:hRule="atLeast"/>
          <w:jc w:val="center"/>
        </w:trPr>
        <w:tc>
          <w:tcPr>
            <w:tcW w:w="104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★超过限期改正时间</w:t>
            </w:r>
          </w:p>
        </w:tc>
        <w:tc>
          <w:tcPr>
            <w:tcW w:w="65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val="en-US" w:eastAsia="zh-CN"/>
              </w:rPr>
              <w:t>15</w:t>
            </w:r>
            <w:r>
              <w:rPr>
                <w:rFonts w:hint="eastAsia" w:ascii="Times New Roman" w:hAnsi="Times New Roman" w:cs="仿宋_GB2312"/>
                <w:sz w:val="21"/>
                <w:szCs w:val="21"/>
              </w:rPr>
              <w:t>天以内</w:t>
            </w:r>
          </w:p>
        </w:tc>
        <w:tc>
          <w:tcPr>
            <w:tcW w:w="12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CellMar>
            <w:top w:w="0" w:type="dxa"/>
            <w:left w:w="108" w:type="dxa"/>
            <w:bottom w:w="0" w:type="dxa"/>
            <w:right w:w="108" w:type="dxa"/>
          </w:tblCellMar>
        </w:tblPrEx>
        <w:trPr>
          <w:trHeight w:val="482" w:hRule="atLeast"/>
          <w:jc w:val="center"/>
        </w:trPr>
        <w:tc>
          <w:tcPr>
            <w:tcW w:w="104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5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val="en-US" w:eastAsia="zh-CN"/>
              </w:rPr>
              <w:t>15</w:t>
            </w:r>
            <w:r>
              <w:rPr>
                <w:rFonts w:hint="eastAsia" w:ascii="Times New Roman" w:hAnsi="Times New Roman" w:cs="仿宋_GB2312"/>
                <w:sz w:val="21"/>
                <w:szCs w:val="21"/>
              </w:rPr>
              <w:t>天以上</w:t>
            </w:r>
            <w:r>
              <w:rPr>
                <w:rFonts w:hint="eastAsia" w:ascii="Times New Roman" w:hAnsi="Times New Roman" w:cs="仿宋_GB2312"/>
                <w:sz w:val="21"/>
                <w:szCs w:val="21"/>
                <w:lang w:val="en-US" w:eastAsia="zh-CN"/>
              </w:rPr>
              <w:t>30</w:t>
            </w:r>
            <w:r>
              <w:rPr>
                <w:rFonts w:hint="eastAsia" w:ascii="Times New Roman" w:hAnsi="Times New Roman" w:cs="仿宋_GB2312"/>
                <w:sz w:val="21"/>
                <w:szCs w:val="21"/>
              </w:rPr>
              <w:t>天以内</w:t>
            </w:r>
          </w:p>
        </w:tc>
        <w:tc>
          <w:tcPr>
            <w:tcW w:w="12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2</w:t>
            </w:r>
          </w:p>
        </w:tc>
      </w:tr>
      <w:tr>
        <w:tblPrEx>
          <w:tblCellMar>
            <w:top w:w="0" w:type="dxa"/>
            <w:left w:w="108" w:type="dxa"/>
            <w:bottom w:w="0" w:type="dxa"/>
            <w:right w:w="108" w:type="dxa"/>
          </w:tblCellMar>
        </w:tblPrEx>
        <w:trPr>
          <w:trHeight w:val="482" w:hRule="atLeast"/>
          <w:jc w:val="center"/>
        </w:trPr>
        <w:tc>
          <w:tcPr>
            <w:tcW w:w="104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5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val="en-US" w:eastAsia="zh-CN"/>
              </w:rPr>
              <w:t>30</w:t>
            </w:r>
            <w:r>
              <w:rPr>
                <w:rFonts w:hint="eastAsia" w:ascii="Times New Roman" w:hAnsi="Times New Roman" w:cs="仿宋_GB2312"/>
                <w:sz w:val="21"/>
                <w:szCs w:val="21"/>
              </w:rPr>
              <w:t>天以上</w:t>
            </w:r>
            <w:r>
              <w:rPr>
                <w:rFonts w:hint="eastAsia" w:ascii="Times New Roman" w:hAnsi="Times New Roman" w:cs="仿宋_GB2312"/>
                <w:sz w:val="21"/>
                <w:szCs w:val="21"/>
                <w:lang w:val="en-US" w:eastAsia="zh-CN"/>
              </w:rPr>
              <w:t>60</w:t>
            </w:r>
            <w:r>
              <w:rPr>
                <w:rFonts w:hint="eastAsia" w:ascii="Times New Roman" w:hAnsi="Times New Roman" w:cs="仿宋_GB2312"/>
                <w:sz w:val="21"/>
                <w:szCs w:val="21"/>
              </w:rPr>
              <w:t>天以内</w:t>
            </w:r>
          </w:p>
        </w:tc>
        <w:tc>
          <w:tcPr>
            <w:tcW w:w="12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CellMar>
            <w:top w:w="0" w:type="dxa"/>
            <w:left w:w="108" w:type="dxa"/>
            <w:bottom w:w="0" w:type="dxa"/>
            <w:right w:w="108" w:type="dxa"/>
          </w:tblCellMar>
        </w:tblPrEx>
        <w:trPr>
          <w:trHeight w:val="482" w:hRule="atLeast"/>
          <w:jc w:val="center"/>
        </w:trPr>
        <w:tc>
          <w:tcPr>
            <w:tcW w:w="104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5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val="en-US" w:eastAsia="zh-CN"/>
              </w:rPr>
              <w:t>60</w:t>
            </w:r>
            <w:r>
              <w:rPr>
                <w:rFonts w:hint="eastAsia" w:ascii="Times New Roman" w:hAnsi="Times New Roman" w:cs="仿宋_GB2312"/>
                <w:sz w:val="21"/>
                <w:szCs w:val="21"/>
                <w:lang w:eastAsia="zh-CN"/>
              </w:rPr>
              <w:t>天</w:t>
            </w:r>
            <w:r>
              <w:rPr>
                <w:rFonts w:hint="eastAsia" w:ascii="Times New Roman" w:hAnsi="Times New Roman" w:cs="仿宋_GB2312"/>
                <w:sz w:val="21"/>
                <w:szCs w:val="21"/>
              </w:rPr>
              <w:t>以上</w:t>
            </w:r>
            <w:r>
              <w:rPr>
                <w:rFonts w:hint="eastAsia" w:ascii="Times New Roman" w:hAnsi="Times New Roman" w:cs="仿宋_GB2312"/>
                <w:sz w:val="21"/>
                <w:szCs w:val="21"/>
                <w:lang w:val="en-US" w:eastAsia="zh-CN"/>
              </w:rPr>
              <w:t>90</w:t>
            </w:r>
            <w:r>
              <w:rPr>
                <w:rFonts w:hint="eastAsia" w:ascii="Times New Roman" w:hAnsi="Times New Roman" w:cs="仿宋_GB2312"/>
                <w:sz w:val="21"/>
                <w:szCs w:val="21"/>
              </w:rPr>
              <w:t>天以内</w:t>
            </w:r>
          </w:p>
        </w:tc>
        <w:tc>
          <w:tcPr>
            <w:tcW w:w="12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4</w:t>
            </w:r>
          </w:p>
        </w:tc>
      </w:tr>
      <w:tr>
        <w:tblPrEx>
          <w:tblCellMar>
            <w:top w:w="0" w:type="dxa"/>
            <w:left w:w="108" w:type="dxa"/>
            <w:bottom w:w="0" w:type="dxa"/>
            <w:right w:w="108" w:type="dxa"/>
          </w:tblCellMar>
        </w:tblPrEx>
        <w:trPr>
          <w:trHeight w:val="485"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ind w:firstLine="0" w:firstLineChars="0"/>
              <w:jc w:val="left"/>
              <w:rPr>
                <w:rFonts w:ascii="Times New Roman" w:hAnsi="Times New Roman" w:cs="仿宋_GB2312"/>
                <w:b/>
                <w:bCs/>
                <w:sz w:val="21"/>
                <w:szCs w:val="21"/>
              </w:rPr>
            </w:pPr>
          </w:p>
        </w:tc>
        <w:tc>
          <w:tcPr>
            <w:tcW w:w="657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val="en-US" w:eastAsia="zh-CN"/>
              </w:rPr>
              <w:t>90</w:t>
            </w:r>
            <w:r>
              <w:rPr>
                <w:rFonts w:hint="eastAsia" w:ascii="Times New Roman" w:hAnsi="Times New Roman" w:cs="仿宋_GB2312"/>
                <w:sz w:val="21"/>
                <w:szCs w:val="21"/>
              </w:rPr>
              <w:t>天以上</w:t>
            </w:r>
          </w:p>
        </w:tc>
        <w:tc>
          <w:tcPr>
            <w:tcW w:w="126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CellMar>
            <w:top w:w="0" w:type="dxa"/>
            <w:left w:w="108" w:type="dxa"/>
            <w:bottom w:w="0" w:type="dxa"/>
            <w:right w:w="108" w:type="dxa"/>
          </w:tblCellMar>
        </w:tblPrEx>
        <w:trPr>
          <w:trHeight w:val="409" w:hRule="atLeast"/>
          <w:jc w:val="center"/>
        </w:trPr>
        <w:tc>
          <w:tcPr>
            <w:tcW w:w="1041"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b/>
                <w:bCs/>
                <w:sz w:val="21"/>
                <w:szCs w:val="21"/>
                <w:lang w:eastAsia="zh-CN"/>
              </w:rPr>
            </w:pPr>
            <w:r>
              <w:rPr>
                <w:rFonts w:hint="eastAsia" w:ascii="Times New Roman" w:hAnsi="Times New Roman" w:cs="仿宋_GB2312"/>
                <w:b/>
                <w:bCs/>
                <w:sz w:val="21"/>
                <w:szCs w:val="21"/>
                <w:lang w:eastAsia="zh-CN"/>
              </w:rPr>
              <w:t>违法行为</w:t>
            </w:r>
          </w:p>
        </w:tc>
        <w:tc>
          <w:tcPr>
            <w:tcW w:w="657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hint="default" w:ascii="Times New Roman" w:hAnsi="Times New Roman" w:eastAsia="仿宋_GB2312" w:cs="仿宋_GB2312"/>
                <w:sz w:val="21"/>
                <w:szCs w:val="21"/>
                <w:lang w:val="en-US" w:eastAsia="zh-CN"/>
              </w:rPr>
            </w:pPr>
            <w:r>
              <w:rPr>
                <w:rFonts w:hint="eastAsia" w:ascii="Times New Roman" w:hAnsi="Times New Roman" w:cs="仿宋_GB2312"/>
                <w:sz w:val="21"/>
                <w:szCs w:val="21"/>
                <w:lang w:eastAsia="zh-CN"/>
              </w:rPr>
              <w:t>未在规定期限内复检合格的</w:t>
            </w:r>
          </w:p>
        </w:tc>
        <w:tc>
          <w:tcPr>
            <w:tcW w:w="126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1</w:t>
            </w:r>
          </w:p>
        </w:tc>
      </w:tr>
      <w:tr>
        <w:tblPrEx>
          <w:tblCellMar>
            <w:top w:w="0" w:type="dxa"/>
            <w:left w:w="108" w:type="dxa"/>
            <w:bottom w:w="0" w:type="dxa"/>
            <w:right w:w="108" w:type="dxa"/>
          </w:tblCellMar>
        </w:tblPrEx>
        <w:trPr>
          <w:trHeight w:val="423" w:hRule="atLeast"/>
          <w:jc w:val="center"/>
        </w:trPr>
        <w:tc>
          <w:tcPr>
            <w:tcW w:w="1041" w:type="dxa"/>
            <w:vMerge w:val="continue"/>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ind w:firstLine="0" w:firstLineChars="0"/>
              <w:jc w:val="left"/>
              <w:rPr>
                <w:rFonts w:ascii="Times New Roman" w:hAnsi="Times New Roman" w:cs="仿宋_GB2312"/>
                <w:b/>
                <w:bCs/>
                <w:sz w:val="21"/>
                <w:szCs w:val="21"/>
              </w:rPr>
            </w:pP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hint="default" w:ascii="Times New Roman" w:hAnsi="Times New Roman" w:cs="仿宋_GB2312"/>
                <w:sz w:val="21"/>
                <w:szCs w:val="21"/>
                <w:lang w:val="en-US"/>
              </w:rPr>
            </w:pPr>
            <w:r>
              <w:rPr>
                <w:rFonts w:hint="eastAsia" w:ascii="Times New Roman" w:hAnsi="Times New Roman" w:cs="仿宋_GB2312"/>
                <w:sz w:val="21"/>
                <w:szCs w:val="21"/>
                <w:lang w:eastAsia="zh-CN"/>
              </w:rPr>
              <w:t>未在规定期限内治理的</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3</w:t>
            </w:r>
          </w:p>
        </w:tc>
      </w:tr>
      <w:tr>
        <w:tblPrEx>
          <w:tblCellMar>
            <w:top w:w="0" w:type="dxa"/>
            <w:left w:w="108" w:type="dxa"/>
            <w:bottom w:w="0" w:type="dxa"/>
            <w:right w:w="108" w:type="dxa"/>
          </w:tblCellMar>
        </w:tblPrEx>
        <w:trPr>
          <w:trHeight w:val="470" w:hRule="atLeast"/>
          <w:jc w:val="center"/>
        </w:trPr>
        <w:tc>
          <w:tcPr>
            <w:tcW w:w="1041" w:type="dxa"/>
            <w:vMerge w:val="continue"/>
            <w:tcBorders>
              <w:top w:val="single" w:color="auto" w:sz="4" w:space="0"/>
              <w:left w:val="single" w:color="000000" w:sz="4" w:space="0"/>
              <w:bottom w:val="single" w:color="000000" w:sz="4" w:space="0"/>
              <w:right w:val="single" w:color="000000" w:sz="4" w:space="0"/>
            </w:tcBorders>
            <w:vAlign w:val="center"/>
          </w:tcPr>
          <w:p>
            <w:pPr>
              <w:widowControl/>
              <w:snapToGrid w:val="0"/>
              <w:spacing w:line="240" w:lineRule="exact"/>
              <w:ind w:firstLine="0" w:firstLineChars="0"/>
              <w:jc w:val="left"/>
              <w:rPr>
                <w:rFonts w:ascii="Times New Roman" w:hAnsi="Times New Roman" w:cs="仿宋_GB2312"/>
                <w:b/>
                <w:bCs/>
                <w:sz w:val="21"/>
                <w:szCs w:val="21"/>
              </w:rPr>
            </w:pP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sz w:val="21"/>
                <w:szCs w:val="21"/>
                <w:lang w:eastAsia="zh-CN"/>
              </w:rPr>
            </w:pPr>
            <w:r>
              <w:rPr>
                <w:rFonts w:hint="eastAsia" w:ascii="Times New Roman" w:hAnsi="Times New Roman" w:cs="仿宋_GB2312"/>
                <w:sz w:val="21"/>
                <w:szCs w:val="21"/>
                <w:lang w:eastAsia="zh-CN"/>
              </w:rPr>
              <w:t>超过期限一直未治理的</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5</w:t>
            </w:r>
          </w:p>
        </w:tc>
      </w:tr>
      <w:tr>
        <w:tblPrEx>
          <w:tblCellMar>
            <w:top w:w="0" w:type="dxa"/>
            <w:left w:w="108" w:type="dxa"/>
            <w:bottom w:w="0" w:type="dxa"/>
            <w:right w:w="108" w:type="dxa"/>
          </w:tblCellMar>
        </w:tblPrEx>
        <w:trPr>
          <w:trHeight w:val="370"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是否配合</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执法检查</w:t>
            </w: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配合调查</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1</w:t>
            </w:r>
          </w:p>
        </w:tc>
      </w:tr>
      <w:tr>
        <w:tblPrEx>
          <w:tblCellMar>
            <w:top w:w="0" w:type="dxa"/>
            <w:left w:w="108" w:type="dxa"/>
            <w:bottom w:w="0" w:type="dxa"/>
            <w:right w:w="108" w:type="dxa"/>
          </w:tblCellMar>
        </w:tblPrEx>
        <w:trPr>
          <w:trHeight w:val="375"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ind w:firstLine="0" w:firstLineChars="0"/>
              <w:jc w:val="left"/>
              <w:rPr>
                <w:rFonts w:ascii="Times New Roman" w:hAnsi="Times New Roman" w:cs="仿宋_GB2312"/>
                <w:b/>
                <w:bCs/>
                <w:sz w:val="21"/>
                <w:szCs w:val="21"/>
              </w:rPr>
            </w:pP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不配合调查，拒绝提供证据</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3</w:t>
            </w:r>
          </w:p>
        </w:tc>
      </w:tr>
      <w:tr>
        <w:tblPrEx>
          <w:tblCellMar>
            <w:top w:w="0" w:type="dxa"/>
            <w:left w:w="108" w:type="dxa"/>
            <w:bottom w:w="0" w:type="dxa"/>
            <w:right w:w="108" w:type="dxa"/>
          </w:tblCellMar>
        </w:tblPrEx>
        <w:trPr>
          <w:trHeight w:val="375"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exact"/>
              <w:ind w:firstLine="0" w:firstLineChars="0"/>
              <w:jc w:val="left"/>
              <w:rPr>
                <w:rFonts w:ascii="Times New Roman" w:hAnsi="Times New Roman" w:cs="仿宋_GB2312"/>
                <w:b/>
                <w:bCs/>
                <w:sz w:val="21"/>
                <w:szCs w:val="21"/>
              </w:rPr>
            </w:pP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伪造变造证据、弄虚作假的</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ascii="Times New Roman" w:hAnsi="Times New Roman" w:cs="仿宋_GB2312"/>
                <w:sz w:val="21"/>
                <w:szCs w:val="21"/>
              </w:rPr>
              <w:t>5</w:t>
            </w:r>
          </w:p>
        </w:tc>
      </w:tr>
      <w:tr>
        <w:tblPrEx>
          <w:tblCellMar>
            <w:top w:w="0" w:type="dxa"/>
            <w:left w:w="108" w:type="dxa"/>
            <w:bottom w:w="0" w:type="dxa"/>
            <w:right w:w="108" w:type="dxa"/>
          </w:tblCellMar>
        </w:tblPrEx>
        <w:trPr>
          <w:trHeight w:val="375" w:hRule="atLeast"/>
          <w:jc w:val="center"/>
        </w:trPr>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备注</w:t>
            </w: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r>
      <w:tr>
        <w:tblPrEx>
          <w:tblCellMar>
            <w:top w:w="0" w:type="dxa"/>
            <w:left w:w="108" w:type="dxa"/>
            <w:bottom w:w="0" w:type="dxa"/>
            <w:right w:w="108" w:type="dxa"/>
          </w:tblCellMar>
        </w:tblPrEx>
        <w:trPr>
          <w:trHeight w:val="299" w:hRule="atLeast"/>
          <w:jc w:val="center"/>
        </w:trPr>
        <w:tc>
          <w:tcPr>
            <w:tcW w:w="10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5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r>
    </w:tbl>
    <w:tbl>
      <w:tblPr>
        <w:tblStyle w:val="11"/>
        <w:tblpPr w:leftFromText="180" w:rightFromText="180" w:vertAnchor="text" w:horzAnchor="page" w:tblpX="1566" w:tblpY="587"/>
        <w:tblOverlap w:val="never"/>
        <w:tblW w:w="0" w:type="auto"/>
        <w:tblInd w:w="0" w:type="dxa"/>
        <w:tblLayout w:type="autofit"/>
        <w:tblCellMar>
          <w:top w:w="15" w:type="dxa"/>
          <w:left w:w="15" w:type="dxa"/>
          <w:bottom w:w="15" w:type="dxa"/>
          <w:right w:w="15" w:type="dxa"/>
        </w:tblCellMar>
      </w:tblPr>
      <w:tblGrid>
        <w:gridCol w:w="1438"/>
        <w:gridCol w:w="5740"/>
        <w:gridCol w:w="1696"/>
      </w:tblGrid>
      <w:tr>
        <w:tblPrEx>
          <w:tblCellMar>
            <w:top w:w="15" w:type="dxa"/>
            <w:left w:w="15" w:type="dxa"/>
            <w:bottom w:w="15" w:type="dxa"/>
            <w:right w:w="15" w:type="dxa"/>
          </w:tblCellMar>
        </w:tblPrEx>
        <w:trPr>
          <w:trHeight w:val="450" w:hRule="atLeast"/>
        </w:trPr>
        <w:tc>
          <w:tcPr>
            <w:tcW w:w="8874" w:type="dxa"/>
            <w:gridSpan w:val="3"/>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郑州市大气污染防治类</w:t>
            </w:r>
          </w:p>
        </w:tc>
      </w:tr>
      <w:tr>
        <w:tblPrEx>
          <w:tblCellMar>
            <w:top w:w="15" w:type="dxa"/>
            <w:left w:w="15" w:type="dxa"/>
            <w:bottom w:w="15" w:type="dxa"/>
            <w:right w:w="15" w:type="dxa"/>
          </w:tblCellMar>
        </w:tblPrEx>
        <w:trPr>
          <w:trHeight w:val="380" w:hRule="atLeast"/>
        </w:trPr>
        <w:tc>
          <w:tcPr>
            <w:tcW w:w="143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436"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CellMar>
            <w:top w:w="15" w:type="dxa"/>
            <w:left w:w="15" w:type="dxa"/>
            <w:bottom w:w="15" w:type="dxa"/>
            <w:right w:w="15" w:type="dxa"/>
          </w:tblCellMar>
        </w:tblPrEx>
        <w:trPr>
          <w:trHeight w:val="515" w:hRule="atLeast"/>
        </w:trPr>
        <w:tc>
          <w:tcPr>
            <w:tcW w:w="143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违法行为</w:t>
            </w:r>
          </w:p>
        </w:tc>
        <w:tc>
          <w:tcPr>
            <w:tcW w:w="7436" w:type="dxa"/>
            <w:gridSpan w:val="2"/>
            <w:tcBorders>
              <w:top w:val="single" w:color="000000" w:sz="4" w:space="0"/>
              <w:left w:val="single" w:color="000000" w:sz="4" w:space="0"/>
              <w:bottom w:val="single" w:color="000000" w:sz="4" w:space="0"/>
              <w:right w:val="single" w:color="auto" w:sz="4" w:space="0"/>
            </w:tcBorders>
            <w:vAlign w:val="center"/>
          </w:tcPr>
          <w:p>
            <w:pPr>
              <w:overflowPunct w:val="0"/>
              <w:adjustRightInd w:val="0"/>
              <w:snapToGrid w:val="0"/>
              <w:spacing w:line="240" w:lineRule="exact"/>
              <w:ind w:firstLine="367" w:firstLineChars="175"/>
              <w:rPr>
                <w:rFonts w:ascii="仿宋" w:hAnsi="仿宋" w:eastAsia="仿宋" w:cs="仿宋_GB2312"/>
                <w:sz w:val="21"/>
                <w:szCs w:val="21"/>
              </w:rPr>
            </w:pPr>
            <w:r>
              <w:rPr>
                <w:rFonts w:hint="eastAsia" w:ascii="仿宋" w:hAnsi="仿宋" w:eastAsia="仿宋" w:cs="仿宋_GB2312"/>
                <w:sz w:val="21"/>
                <w:szCs w:val="21"/>
              </w:rPr>
              <w:t>机动车排放污染检验机构未与市生态环境部门联网，未向市生态环境主管部门实时上传排放检验数据、视频监控数据以及其他相关管理数据和资料的。</w:t>
            </w:r>
          </w:p>
        </w:tc>
      </w:tr>
      <w:tr>
        <w:tblPrEx>
          <w:tblCellMar>
            <w:top w:w="15" w:type="dxa"/>
            <w:left w:w="15" w:type="dxa"/>
            <w:bottom w:w="15" w:type="dxa"/>
            <w:right w:w="15" w:type="dxa"/>
          </w:tblCellMar>
        </w:tblPrEx>
        <w:trPr>
          <w:trHeight w:val="90" w:hRule="atLeast"/>
        </w:trPr>
        <w:tc>
          <w:tcPr>
            <w:tcW w:w="1438"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违反条款</w:t>
            </w:r>
          </w:p>
        </w:tc>
        <w:tc>
          <w:tcPr>
            <w:tcW w:w="7436" w:type="dxa"/>
            <w:gridSpan w:val="2"/>
            <w:tcBorders>
              <w:top w:val="single" w:color="000000" w:sz="4" w:space="0"/>
              <w:left w:val="single" w:color="000000" w:sz="4" w:space="0"/>
              <w:bottom w:val="single" w:color="auto" w:sz="4" w:space="0"/>
              <w:right w:val="single" w:color="auto" w:sz="4" w:space="0"/>
            </w:tcBorders>
            <w:vAlign w:val="center"/>
          </w:tcPr>
          <w:p>
            <w:pPr>
              <w:overflowPunct w:val="0"/>
              <w:adjustRightInd w:val="0"/>
              <w:snapToGrid w:val="0"/>
              <w:spacing w:line="240" w:lineRule="exact"/>
              <w:ind w:firstLine="367" w:firstLineChars="175"/>
              <w:rPr>
                <w:rFonts w:ascii="仿宋" w:hAnsi="仿宋" w:eastAsia="仿宋" w:cs="仿宋_GB2312"/>
                <w:sz w:val="21"/>
                <w:szCs w:val="21"/>
              </w:rPr>
            </w:pPr>
            <w:r>
              <w:rPr>
                <w:rFonts w:ascii="仿宋" w:hAnsi="仿宋" w:eastAsia="仿宋"/>
                <w:color w:val="000000"/>
                <w:sz w:val="21"/>
                <w:szCs w:val="21"/>
              </w:rPr>
              <w:t>《</w:t>
            </w:r>
            <w:r>
              <w:rPr>
                <w:rFonts w:hint="eastAsia" w:ascii="仿宋" w:hAnsi="仿宋" w:eastAsia="仿宋"/>
                <w:color w:val="000000"/>
                <w:sz w:val="21"/>
                <w:szCs w:val="21"/>
              </w:rPr>
              <w:t>郑州市大气污染防治条例》第三十六条：</w:t>
            </w:r>
            <w:r>
              <w:rPr>
                <w:rFonts w:hint="eastAsia" w:ascii="仿宋" w:hAnsi="仿宋" w:eastAsia="仿宋" w:cs="仿宋_GB2312"/>
                <w:sz w:val="21"/>
                <w:szCs w:val="21"/>
              </w:rPr>
              <w:t>机动车排气污染检验机构应当建立检验数据传输网络，并向生态环境主管部门实时传送检验数据。</w:t>
            </w:r>
          </w:p>
          <w:p>
            <w:pPr>
              <w:overflowPunct w:val="0"/>
              <w:adjustRightInd w:val="0"/>
              <w:snapToGrid w:val="0"/>
              <w:spacing w:line="240" w:lineRule="exact"/>
              <w:ind w:firstLine="367" w:firstLineChars="175"/>
              <w:rPr>
                <w:rFonts w:ascii="仿宋" w:hAnsi="仿宋" w:eastAsia="仿宋" w:cs="仿宋_GB2312"/>
                <w:sz w:val="21"/>
                <w:szCs w:val="21"/>
              </w:rPr>
            </w:pPr>
            <w:r>
              <w:rPr>
                <w:rFonts w:hint="eastAsia" w:ascii="仿宋" w:hAnsi="仿宋" w:eastAsia="仿宋" w:cs="仿宋_GB2312"/>
                <w:sz w:val="21"/>
                <w:szCs w:val="21"/>
              </w:rPr>
              <w:t>《郑州市机动车和非道路移动机械排放污染防治办法》第十六条：</w:t>
            </w:r>
            <w:r>
              <w:rPr>
                <w:rFonts w:hint="eastAsia" w:ascii="仿宋" w:hAnsi="仿宋" w:eastAsia="仿宋"/>
                <w:color w:val="000000"/>
                <w:sz w:val="21"/>
                <w:szCs w:val="21"/>
              </w:rPr>
              <w:t>机动车排放检验机构应当依法取得资质，接受生态环境、市场监督管理、公安机关交通管理等部门的监督管理，并遵守下列规定：（三）与市生态环境主管部门联网，实时上传排放检验数据、视频监控数据以及其他相关管理数据和资料；</w:t>
            </w:r>
          </w:p>
          <w:p>
            <w:pPr>
              <w:overflowPunct w:val="0"/>
              <w:adjustRightInd w:val="0"/>
              <w:snapToGrid w:val="0"/>
              <w:spacing w:line="240" w:lineRule="exact"/>
              <w:ind w:firstLine="367" w:firstLineChars="175"/>
              <w:rPr>
                <w:rFonts w:ascii="仿宋" w:hAnsi="仿宋" w:eastAsia="仿宋" w:cs="仿宋_GB2312"/>
                <w:sz w:val="21"/>
                <w:szCs w:val="21"/>
              </w:rPr>
            </w:pPr>
          </w:p>
        </w:tc>
      </w:tr>
      <w:tr>
        <w:tblPrEx>
          <w:tblCellMar>
            <w:top w:w="15" w:type="dxa"/>
            <w:left w:w="15" w:type="dxa"/>
            <w:bottom w:w="15" w:type="dxa"/>
            <w:right w:w="15" w:type="dxa"/>
          </w:tblCellMar>
        </w:tblPrEx>
        <w:trPr>
          <w:trHeight w:val="1558" w:hRule="atLeast"/>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处罚依据</w:t>
            </w:r>
          </w:p>
        </w:tc>
        <w:tc>
          <w:tcPr>
            <w:tcW w:w="7436" w:type="dxa"/>
            <w:gridSpan w:val="2"/>
            <w:tcBorders>
              <w:top w:val="single" w:color="000000" w:sz="4" w:space="0"/>
              <w:left w:val="single" w:color="000000" w:sz="4" w:space="0"/>
              <w:bottom w:val="single" w:color="000000" w:sz="4" w:space="0"/>
              <w:right w:val="single" w:color="000000" w:sz="4" w:space="0"/>
            </w:tcBorders>
            <w:vAlign w:val="center"/>
          </w:tcPr>
          <w:p>
            <w:pPr>
              <w:overflowPunct w:val="0"/>
              <w:adjustRightInd w:val="0"/>
              <w:snapToGrid w:val="0"/>
              <w:spacing w:line="240" w:lineRule="exact"/>
              <w:ind w:firstLine="367" w:firstLineChars="175"/>
              <w:rPr>
                <w:rFonts w:ascii="仿宋" w:hAnsi="仿宋" w:eastAsia="仿宋"/>
                <w:color w:val="000000"/>
                <w:sz w:val="21"/>
                <w:szCs w:val="21"/>
              </w:rPr>
            </w:pPr>
            <w:r>
              <w:rPr>
                <w:rFonts w:ascii="仿宋" w:hAnsi="仿宋" w:eastAsia="仿宋"/>
                <w:color w:val="000000"/>
                <w:sz w:val="21"/>
                <w:szCs w:val="21"/>
              </w:rPr>
              <w:t>《</w:t>
            </w:r>
            <w:r>
              <w:rPr>
                <w:rFonts w:hint="eastAsia" w:ascii="仿宋" w:hAnsi="仿宋" w:eastAsia="仿宋"/>
                <w:color w:val="000000"/>
                <w:sz w:val="21"/>
                <w:szCs w:val="21"/>
              </w:rPr>
              <w:t>郑州市大气污染防治条例》第五十六条：违反本条例规定，有下列行为之一的，由市、县（市、区）生态环境主管部门按照下列规定予以处罚：“（五）违反本条例第三十六条规定的，责令限期改正，处五千元以上三万元以下罚款。</w:t>
            </w:r>
          </w:p>
          <w:p>
            <w:pPr>
              <w:overflowPunct w:val="0"/>
              <w:adjustRightInd w:val="0"/>
              <w:snapToGrid w:val="0"/>
              <w:spacing w:line="240" w:lineRule="exact"/>
              <w:ind w:firstLine="367" w:firstLineChars="175"/>
              <w:rPr>
                <w:rFonts w:ascii="仿宋" w:hAnsi="仿宋" w:eastAsia="仿宋"/>
                <w:color w:val="000000"/>
                <w:sz w:val="21"/>
                <w:szCs w:val="21"/>
              </w:rPr>
            </w:pPr>
            <w:r>
              <w:rPr>
                <w:rFonts w:hint="eastAsia" w:ascii="仿宋" w:hAnsi="仿宋" w:eastAsia="仿宋" w:cs="仿宋_GB2312"/>
                <w:sz w:val="21"/>
                <w:szCs w:val="21"/>
              </w:rPr>
              <w:t>《郑州市机动车和非道路移动机械排放污染防治办法》第</w:t>
            </w:r>
            <w:r>
              <w:rPr>
                <w:rFonts w:hint="eastAsia" w:ascii="仿宋" w:hAnsi="仿宋" w:eastAsia="仿宋"/>
                <w:color w:val="000000"/>
                <w:sz w:val="21"/>
                <w:szCs w:val="21"/>
              </w:rPr>
              <w:t>二十九条： 机动车排放检验机构有下列行为的，由生态环境主管部门责令改正，并给予处罚：（一）未向市生态环境主管部门实时上传排放检验数据、视频监控数据以及其他相关管理数据和资料的，处5000元以上3万元以下罚款；</w:t>
            </w:r>
          </w:p>
          <w:p>
            <w:pPr>
              <w:overflowPunct w:val="0"/>
              <w:adjustRightInd w:val="0"/>
              <w:snapToGrid w:val="0"/>
              <w:spacing w:line="240" w:lineRule="exact"/>
              <w:ind w:firstLine="367" w:firstLineChars="175"/>
              <w:rPr>
                <w:rFonts w:ascii="仿宋" w:hAnsi="仿宋" w:eastAsia="仿宋"/>
                <w:color w:val="000000"/>
                <w:sz w:val="21"/>
                <w:szCs w:val="21"/>
              </w:rPr>
            </w:pPr>
          </w:p>
        </w:tc>
      </w:tr>
      <w:tr>
        <w:tblPrEx>
          <w:tblCellMar>
            <w:top w:w="15" w:type="dxa"/>
            <w:left w:w="15" w:type="dxa"/>
            <w:bottom w:w="15" w:type="dxa"/>
            <w:right w:w="15" w:type="dxa"/>
          </w:tblCellMar>
        </w:tblPrEx>
        <w:trPr>
          <w:trHeight w:val="500" w:hRule="atLeast"/>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裁量因素</w:t>
            </w: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判定标准</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裁量等级</w:t>
            </w:r>
          </w:p>
        </w:tc>
      </w:tr>
      <w:tr>
        <w:tblPrEx>
          <w:tblCellMar>
            <w:top w:w="15" w:type="dxa"/>
            <w:left w:w="15" w:type="dxa"/>
            <w:bottom w:w="15" w:type="dxa"/>
            <w:right w:w="15" w:type="dxa"/>
          </w:tblCellMar>
        </w:tblPrEx>
        <w:trPr>
          <w:trHeight w:val="90" w:hRule="atLeast"/>
        </w:trPr>
        <w:tc>
          <w:tcPr>
            <w:tcW w:w="1438" w:type="dxa"/>
            <w:vMerge w:val="restart"/>
            <w:tcBorders>
              <w:left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★违法事实</w:t>
            </w: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left"/>
              <w:textAlignment w:val="center"/>
              <w:rPr>
                <w:rFonts w:ascii="仿宋" w:hAnsi="仿宋" w:eastAsia="仿宋" w:cs="仿宋_GB2312"/>
                <w:sz w:val="21"/>
                <w:szCs w:val="21"/>
              </w:rPr>
            </w:pPr>
            <w:r>
              <w:rPr>
                <w:rFonts w:hint="eastAsia" w:ascii="仿宋" w:hAnsi="仿宋" w:eastAsia="仿宋"/>
                <w:color w:val="000000"/>
                <w:sz w:val="21"/>
                <w:szCs w:val="21"/>
              </w:rPr>
              <w:t>有5辆以下的机动车，未向市生态环境主管部门实时上传排放检验数据、视频监控数据以及其他相关管理数据和资料的。</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540" w:hRule="atLeast"/>
        </w:trPr>
        <w:tc>
          <w:tcPr>
            <w:tcW w:w="1438" w:type="dxa"/>
            <w:vMerge w:val="continue"/>
            <w:tcBorders>
              <w:left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left"/>
              <w:textAlignment w:val="center"/>
              <w:rPr>
                <w:rFonts w:ascii="仿宋" w:hAnsi="仿宋" w:eastAsia="仿宋" w:cs="仿宋_GB2312"/>
                <w:sz w:val="21"/>
                <w:szCs w:val="21"/>
              </w:rPr>
            </w:pPr>
            <w:r>
              <w:rPr>
                <w:rFonts w:hint="eastAsia" w:ascii="仿宋" w:hAnsi="仿宋" w:eastAsia="仿宋"/>
                <w:color w:val="000000"/>
                <w:sz w:val="21"/>
                <w:szCs w:val="21"/>
              </w:rPr>
              <w:t>有5辆以上、</w:t>
            </w:r>
            <w:r>
              <w:rPr>
                <w:rFonts w:hint="eastAsia" w:ascii="仿宋" w:hAnsi="仿宋" w:eastAsia="仿宋"/>
                <w:color w:val="000000"/>
                <w:sz w:val="21"/>
                <w:szCs w:val="21"/>
                <w:lang w:val="en-US" w:eastAsia="zh-CN"/>
              </w:rPr>
              <w:t>2</w:t>
            </w:r>
            <w:r>
              <w:rPr>
                <w:rFonts w:hint="eastAsia" w:ascii="仿宋" w:hAnsi="仿宋" w:eastAsia="仿宋"/>
                <w:color w:val="000000"/>
                <w:sz w:val="21"/>
                <w:szCs w:val="21"/>
              </w:rPr>
              <w:t>0辆以下的机动车，未向市生态环境主管部门实时上传排放检验数据、视频监控数据以及其他相关管理数据和资料的。</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_GB2312"/>
                <w:sz w:val="21"/>
                <w:szCs w:val="21"/>
                <w:lang w:eastAsia="zh-CN"/>
              </w:rPr>
            </w:pPr>
            <w:r>
              <w:rPr>
                <w:rFonts w:hint="eastAsia" w:ascii="仿宋" w:hAnsi="仿宋" w:eastAsia="仿宋" w:cs="仿宋_GB2312"/>
                <w:sz w:val="21"/>
                <w:szCs w:val="21"/>
                <w:lang w:val="en-US" w:eastAsia="zh-CN"/>
              </w:rPr>
              <w:t>3</w:t>
            </w:r>
          </w:p>
        </w:tc>
      </w:tr>
      <w:tr>
        <w:tblPrEx>
          <w:tblCellMar>
            <w:top w:w="15" w:type="dxa"/>
            <w:left w:w="15" w:type="dxa"/>
            <w:bottom w:w="15" w:type="dxa"/>
            <w:right w:w="15" w:type="dxa"/>
          </w:tblCellMar>
        </w:tblPrEx>
        <w:trPr>
          <w:trHeight w:val="680" w:hRule="atLeast"/>
        </w:trPr>
        <w:tc>
          <w:tcPr>
            <w:tcW w:w="1438" w:type="dxa"/>
            <w:vMerge w:val="continue"/>
            <w:tcBorders>
              <w:left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right w:val="single" w:color="000000" w:sz="4" w:space="0"/>
            </w:tcBorders>
            <w:vAlign w:val="center"/>
          </w:tcPr>
          <w:p>
            <w:pPr>
              <w:widowControl/>
              <w:adjustRightInd w:val="0"/>
              <w:snapToGrid w:val="0"/>
              <w:spacing w:line="240" w:lineRule="exact"/>
              <w:ind w:firstLine="0" w:firstLineChars="0"/>
              <w:jc w:val="left"/>
              <w:textAlignment w:val="center"/>
              <w:rPr>
                <w:rFonts w:ascii="仿宋" w:hAnsi="仿宋" w:eastAsia="仿宋" w:cs="仿宋_GB2312"/>
                <w:sz w:val="21"/>
                <w:szCs w:val="21"/>
              </w:rPr>
            </w:pPr>
            <w:r>
              <w:rPr>
                <w:rFonts w:hint="eastAsia" w:ascii="仿宋" w:hAnsi="仿宋" w:eastAsia="仿宋"/>
                <w:color w:val="000000"/>
                <w:sz w:val="21"/>
                <w:szCs w:val="21"/>
              </w:rPr>
              <w:t xml:space="preserve">    有</w:t>
            </w:r>
            <w:r>
              <w:rPr>
                <w:rFonts w:hint="eastAsia" w:ascii="仿宋" w:hAnsi="仿宋" w:eastAsia="仿宋"/>
                <w:color w:val="000000"/>
                <w:sz w:val="21"/>
                <w:szCs w:val="21"/>
                <w:lang w:val="en-US" w:eastAsia="zh-CN"/>
              </w:rPr>
              <w:t>2</w:t>
            </w:r>
            <w:r>
              <w:rPr>
                <w:rFonts w:hint="eastAsia" w:ascii="仿宋" w:hAnsi="仿宋" w:eastAsia="仿宋"/>
                <w:color w:val="000000"/>
                <w:sz w:val="21"/>
                <w:szCs w:val="21"/>
              </w:rPr>
              <w:t>0辆以上的机动车，未向市生态环境主管部门实时上传排放检验数据、视频监控数据以及其他相关管理数据和资料的。</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409" w:hRule="atLeast"/>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违法次数</w:t>
            </w: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两年内未受到过同类处罚</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423"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两年内受到同类处罚1次</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trHeight w:val="539"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两年内受到同类处罚2次及以上</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370" w:hRule="atLeast"/>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是否配合</w:t>
            </w:r>
          </w:p>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执法检查</w:t>
            </w: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配合调查</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37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不配合调查，拒绝提供证据</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trHeight w:val="375" w:hRule="atLeast"/>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伪造变造证据、弄虚作假的</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375" w:hRule="atLeast"/>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备注</w:t>
            </w:r>
          </w:p>
        </w:tc>
        <w:tc>
          <w:tcPr>
            <w:tcW w:w="57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tbl>
      <w:tblPr>
        <w:tblStyle w:val="11"/>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64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snapToGrid w:val="0"/>
              <w:spacing w:line="240" w:lineRule="exact"/>
              <w:ind w:firstLine="422"/>
              <w:jc w:val="center"/>
              <w:rPr>
                <w:rFonts w:ascii="Times New Roman" w:hAnsi="Times New Roman" w:cs="Times New Roman"/>
                <w:color w:val="000000"/>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exact"/>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序号</w:t>
            </w:r>
          </w:p>
        </w:tc>
        <w:tc>
          <w:tcPr>
            <w:tcW w:w="7938" w:type="dxa"/>
            <w:gridSpan w:val="2"/>
            <w:vAlign w:val="center"/>
          </w:tcPr>
          <w:p>
            <w:pPr>
              <w:snapToGrid w:val="0"/>
              <w:spacing w:line="240" w:lineRule="exact"/>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违法行为</w:t>
            </w:r>
          </w:p>
        </w:tc>
        <w:tc>
          <w:tcPr>
            <w:tcW w:w="7938" w:type="dxa"/>
            <w:gridSpan w:val="2"/>
            <w:vAlign w:val="center"/>
          </w:tcPr>
          <w:p>
            <w:pPr>
              <w:snapToGrid w:val="0"/>
              <w:spacing w:line="240" w:lineRule="exact"/>
              <w:jc w:val="left"/>
              <w:rPr>
                <w:rFonts w:ascii="Times New Roman" w:hAnsi="Times New Roman" w:cs="Times New Roman"/>
                <w:sz w:val="21"/>
                <w:szCs w:val="21"/>
              </w:rPr>
            </w:pPr>
            <w:r>
              <w:rPr>
                <w:rFonts w:hint="eastAsia" w:ascii="Times New Roman" w:hAnsi="Times New Roman" w:cs="Times New Roman"/>
                <w:sz w:val="21"/>
                <w:szCs w:val="21"/>
              </w:rPr>
              <w:t>在人口集中地区和其他依法需要特殊保护的区域内，开设产生恶臭、粉尘污染的修理、加工等场所，贮存、加工、制造或者使用产生恶臭气体物质的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违反条款</w:t>
            </w:r>
          </w:p>
        </w:tc>
        <w:tc>
          <w:tcPr>
            <w:tcW w:w="7938" w:type="dxa"/>
            <w:gridSpan w:val="2"/>
          </w:tcPr>
          <w:p>
            <w:pPr>
              <w:snapToGrid w:val="0"/>
              <w:spacing w:line="240" w:lineRule="exact"/>
              <w:ind w:firstLine="482"/>
              <w:rPr>
                <w:rFonts w:ascii="Times New Roman" w:hAnsi="Times New Roman" w:cs="Times New Roman"/>
                <w:b w:val="0"/>
                <w:bCs w:val="0"/>
                <w:sz w:val="21"/>
                <w:szCs w:val="21"/>
              </w:rPr>
            </w:pPr>
            <w:r>
              <w:rPr>
                <w:rFonts w:hint="eastAsia" w:ascii="Times New Roman" w:hAnsi="Times New Roman" w:cs="仿宋_GB2312"/>
                <w:b w:val="0"/>
                <w:bCs w:val="0"/>
                <w:sz w:val="24"/>
              </w:rPr>
              <w:t>《郑州市大气污染防治条例》</w:t>
            </w:r>
            <w:r>
              <w:rPr>
                <w:rFonts w:hint="eastAsia" w:ascii="Times New Roman" w:hAnsi="Times New Roman" w:cs="仿宋_GB2312"/>
                <w:b w:val="0"/>
                <w:bCs w:val="0"/>
                <w:sz w:val="21"/>
                <w:szCs w:val="21"/>
              </w:rPr>
              <w:t xml:space="preserve">  第四十九条  在人口集中地区和其他依法需要特殊保护的区域内，不得开设产生恶臭、粉尘污染的修理、加工等场所，不得贮存、加工、制造或者使用产生恶臭气体的物质。在其他区域向大气排放恶臭等刺激性气体的，应当采取措施防止污染影响周围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处罚依据</w:t>
            </w:r>
          </w:p>
        </w:tc>
        <w:tc>
          <w:tcPr>
            <w:tcW w:w="7938" w:type="dxa"/>
            <w:gridSpan w:val="2"/>
          </w:tcPr>
          <w:p>
            <w:pPr>
              <w:snapToGrid w:val="0"/>
              <w:spacing w:line="240" w:lineRule="exact"/>
              <w:ind w:firstLine="482"/>
              <w:rPr>
                <w:rFonts w:ascii="Times New Roman" w:hAnsi="Times New Roman" w:cs="Times New Roman"/>
                <w:b w:val="0"/>
                <w:bCs w:val="0"/>
                <w:sz w:val="21"/>
                <w:szCs w:val="21"/>
              </w:rPr>
            </w:pPr>
            <w:r>
              <w:rPr>
                <w:rFonts w:hint="eastAsia" w:ascii="Times New Roman" w:hAnsi="Times New Roman" w:cs="仿宋_GB2312"/>
                <w:b w:val="0"/>
                <w:bCs w:val="0"/>
                <w:sz w:val="24"/>
              </w:rPr>
              <w:t>《郑州市大气污染防治条例》</w:t>
            </w:r>
            <w:r>
              <w:rPr>
                <w:rFonts w:hint="eastAsia" w:ascii="Times New Roman" w:hAnsi="Times New Roman" w:cs="仿宋_GB2312"/>
                <w:b w:val="0"/>
                <w:bCs w:val="0"/>
                <w:sz w:val="21"/>
                <w:szCs w:val="21"/>
              </w:rPr>
              <w:t>第五十六条  违反本条例规定，有下列行为之一的，由市、县（市、区）生态环境主管部门按照下列规定予以处罚：（七）违反本条例第四十九条规定的，责令限期改正；逾期不改正的，处一万元以上五万元以下罚款；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裁量因素</w:t>
            </w:r>
          </w:p>
        </w:tc>
        <w:tc>
          <w:tcPr>
            <w:tcW w:w="5649" w:type="dxa"/>
            <w:vAlign w:val="center"/>
          </w:tcPr>
          <w:p>
            <w:pPr>
              <w:snapToGrid w:val="0"/>
              <w:spacing w:line="240" w:lineRule="exact"/>
              <w:ind w:firstLine="422"/>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判定标准</w:t>
            </w:r>
          </w:p>
        </w:tc>
        <w:tc>
          <w:tcPr>
            <w:tcW w:w="2289" w:type="dxa"/>
            <w:vAlign w:val="center"/>
          </w:tcPr>
          <w:p>
            <w:pPr>
              <w:snapToGrid w:val="0"/>
              <w:spacing w:line="240" w:lineRule="exact"/>
              <w:ind w:firstLine="422"/>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b/>
                <w:bCs/>
                <w:sz w:val="21"/>
                <w:szCs w:val="21"/>
              </w:rPr>
            </w:pPr>
            <w:r>
              <w:rPr>
                <w:rFonts w:hint="eastAsia" w:ascii="仿宋_GB2312" w:hAnsi="仿宋_GB2312" w:cs="仿宋_GB2312"/>
                <w:b/>
                <w:bCs/>
                <w:color w:val="000000"/>
                <w:sz w:val="21"/>
                <w:szCs w:val="21"/>
              </w:rPr>
              <w:t>★</w:t>
            </w:r>
            <w:r>
              <w:rPr>
                <w:rFonts w:hint="eastAsia" w:ascii="Times New Roman" w:hAnsi="Times New Roman" w:cs="宋体"/>
                <w:b/>
                <w:bCs/>
                <w:color w:val="000000"/>
                <w:sz w:val="21"/>
                <w:szCs w:val="21"/>
              </w:rPr>
              <w:t>违法事实</w:t>
            </w:r>
          </w:p>
        </w:tc>
        <w:tc>
          <w:tcPr>
            <w:tcW w:w="5649" w:type="dxa"/>
            <w:vAlign w:val="center"/>
          </w:tcPr>
          <w:p>
            <w:pPr>
              <w:snapToGrid w:val="0"/>
              <w:spacing w:line="240" w:lineRule="exact"/>
              <w:jc w:val="center"/>
              <w:rPr>
                <w:rFonts w:ascii="Times New Roman" w:hAnsi="Times New Roman" w:cs="Times New Roman"/>
                <w:b/>
                <w:bCs/>
                <w:color w:val="000000"/>
                <w:sz w:val="21"/>
                <w:szCs w:val="21"/>
              </w:rPr>
            </w:pPr>
            <w:r>
              <w:rPr>
                <w:rFonts w:hint="eastAsia" w:ascii="Times New Roman" w:hAnsi="Times New Roman" w:cs="仿宋_GB2312"/>
                <w:color w:val="000000"/>
                <w:sz w:val="21"/>
                <w:szCs w:val="21"/>
              </w:rPr>
              <w:t>采取恶臭污染防治措施的(</w:t>
            </w:r>
            <w:r>
              <w:rPr>
                <w:rFonts w:hint="eastAsia" w:ascii="Times New Roman" w:hAnsi="Times New Roman" w:cs="Times New Roman"/>
                <w:sz w:val="21"/>
                <w:szCs w:val="21"/>
              </w:rPr>
              <w:t>人口集中地区和其他依法需要特殊保护的区域内</w:t>
            </w:r>
            <w:r>
              <w:rPr>
                <w:rFonts w:hint="eastAsia" w:ascii="Times New Roman" w:hAnsi="Times New Roman" w:cs="仿宋_GB2312"/>
                <w:color w:val="000000"/>
                <w:sz w:val="21"/>
                <w:szCs w:val="21"/>
              </w:rPr>
              <w:t>)</w:t>
            </w:r>
          </w:p>
        </w:tc>
        <w:tc>
          <w:tcPr>
            <w:tcW w:w="2289" w:type="dxa"/>
            <w:vAlign w:val="center"/>
          </w:tcPr>
          <w:p>
            <w:pPr>
              <w:snapToGrid w:val="0"/>
              <w:spacing w:line="240" w:lineRule="exact"/>
              <w:jc w:val="center"/>
              <w:rPr>
                <w:rFonts w:ascii="Times New Roman" w:hAnsi="Times New Roman" w:cs="Times New Roman"/>
                <w:b/>
                <w:bCs/>
                <w:color w:val="000000"/>
                <w:sz w:val="21"/>
                <w:szCs w:val="21"/>
              </w:rPr>
            </w:pPr>
            <w:r>
              <w:rPr>
                <w:rFonts w:hint="eastAsia"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spacing w:line="240" w:lineRule="exact"/>
              <w:ind w:firstLine="422"/>
              <w:jc w:val="center"/>
              <w:rPr>
                <w:rFonts w:ascii="仿宋_GB2312" w:hAnsi="仿宋_GB2312" w:cs="仿宋_GB2312"/>
                <w:b/>
                <w:bCs/>
                <w:color w:val="000000"/>
                <w:sz w:val="21"/>
                <w:szCs w:val="21"/>
              </w:rPr>
            </w:pPr>
          </w:p>
        </w:tc>
        <w:tc>
          <w:tcPr>
            <w:tcW w:w="5649" w:type="dxa"/>
            <w:vAlign w:val="center"/>
          </w:tcPr>
          <w:p>
            <w:pPr>
              <w:snapToGrid w:val="0"/>
              <w:spacing w:line="240" w:lineRule="exact"/>
              <w:jc w:val="center"/>
              <w:rPr>
                <w:rFonts w:ascii="Times New Roman" w:hAnsi="Times New Roman" w:cs="仿宋_GB2312"/>
                <w:color w:val="000000"/>
                <w:sz w:val="21"/>
                <w:szCs w:val="21"/>
              </w:rPr>
            </w:pPr>
            <w:r>
              <w:rPr>
                <w:rFonts w:hint="eastAsia" w:ascii="Times New Roman" w:hAnsi="Times New Roman" w:cs="仿宋_GB2312"/>
                <w:color w:val="000000"/>
                <w:sz w:val="21"/>
                <w:szCs w:val="21"/>
              </w:rPr>
              <w:t>未按要求规范采取恶臭污染防治措施的</w:t>
            </w:r>
          </w:p>
        </w:tc>
        <w:tc>
          <w:tcPr>
            <w:tcW w:w="2289" w:type="dxa"/>
            <w:vAlign w:val="center"/>
          </w:tcPr>
          <w:p>
            <w:pPr>
              <w:snapToGrid w:val="0"/>
              <w:spacing w:line="240" w:lineRule="exact"/>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sz w:val="21"/>
                <w:szCs w:val="21"/>
              </w:rPr>
            </w:pPr>
          </w:p>
        </w:tc>
        <w:tc>
          <w:tcPr>
            <w:tcW w:w="5649" w:type="dxa"/>
            <w:vAlign w:val="center"/>
          </w:tcPr>
          <w:p>
            <w:pPr>
              <w:snapToGrid w:val="0"/>
              <w:spacing w:line="240" w:lineRule="exact"/>
              <w:jc w:val="center"/>
              <w:rPr>
                <w:rFonts w:ascii="Times New Roman" w:hAnsi="Times New Roman" w:cs="Times New Roman"/>
                <w:color w:val="000000"/>
                <w:sz w:val="21"/>
                <w:szCs w:val="21"/>
              </w:rPr>
            </w:pPr>
            <w:r>
              <w:rPr>
                <w:rFonts w:hint="eastAsia" w:ascii="Times New Roman" w:hAnsi="Times New Roman" w:cs="仿宋_GB2312"/>
                <w:color w:val="000000"/>
                <w:sz w:val="21"/>
                <w:szCs w:val="21"/>
              </w:rPr>
              <w:t>未采取恶臭污染防治措施的</w:t>
            </w:r>
          </w:p>
        </w:tc>
        <w:tc>
          <w:tcPr>
            <w:tcW w:w="2289" w:type="dxa"/>
            <w:vAlign w:val="center"/>
          </w:tcPr>
          <w:p>
            <w:pPr>
              <w:snapToGrid w:val="0"/>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企业规模</w:t>
            </w: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微型企业</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小型企事业单位</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中型企事业单位</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大型企事业单位</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项目建设地点</w:t>
            </w:r>
          </w:p>
        </w:tc>
        <w:tc>
          <w:tcPr>
            <w:tcW w:w="5649" w:type="dxa"/>
            <w:vAlign w:val="center"/>
          </w:tcPr>
          <w:p>
            <w:pPr>
              <w:snapToGrid w:val="0"/>
              <w:spacing w:line="240" w:lineRule="exact"/>
              <w:jc w:val="center"/>
              <w:rPr>
                <w:rFonts w:ascii="Times New Roman" w:hAnsi="Times New Roman" w:cs="仿宋_GB2312"/>
                <w:sz w:val="21"/>
                <w:szCs w:val="21"/>
              </w:rPr>
            </w:pPr>
            <w:r>
              <w:rPr>
                <w:rFonts w:hint="eastAsia" w:ascii="Times New Roman" w:hAnsi="Times New Roman" w:cs="仿宋_GB2312"/>
                <w:sz w:val="21"/>
                <w:szCs w:val="21"/>
              </w:rPr>
              <w:t>其他区域</w:t>
            </w:r>
          </w:p>
        </w:tc>
        <w:tc>
          <w:tcPr>
            <w:tcW w:w="228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仿宋_GB2312"/>
                <w:sz w:val="21"/>
                <w:szCs w:val="21"/>
              </w:rPr>
            </w:pPr>
            <w:r>
              <w:rPr>
                <w:rFonts w:hint="eastAsia" w:ascii="Times New Roman" w:hAnsi="Times New Roman" w:cs="仿宋_GB2312"/>
                <w:bCs/>
                <w:sz w:val="21"/>
                <w:szCs w:val="21"/>
              </w:rPr>
              <w:t>人口集中地区和其他依法需要特殊保护的区域内</w:t>
            </w:r>
          </w:p>
        </w:tc>
        <w:tc>
          <w:tcPr>
            <w:tcW w:w="228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b/>
                <w:bCs/>
                <w:sz w:val="21"/>
                <w:szCs w:val="21"/>
              </w:rPr>
            </w:pPr>
            <w:r>
              <w:rPr>
                <w:rFonts w:hint="eastAsia" w:ascii="Times New Roman" w:hAnsi="Times New Roman" w:cs="宋体"/>
                <w:b/>
                <w:bCs/>
                <w:sz w:val="21"/>
                <w:szCs w:val="21"/>
              </w:rPr>
              <w:t>违法行为发生时期缓解敏感度</w:t>
            </w: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Times New Roman"/>
                <w:sz w:val="21"/>
                <w:szCs w:val="21"/>
              </w:rPr>
              <w:t>一般期间</w:t>
            </w:r>
          </w:p>
        </w:tc>
        <w:tc>
          <w:tcPr>
            <w:tcW w:w="2289" w:type="dxa"/>
            <w:vAlign w:val="center"/>
          </w:tcPr>
          <w:p>
            <w:pPr>
              <w:snapToGrid w:val="0"/>
              <w:spacing w:line="240" w:lineRule="exact"/>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宋体"/>
                <w:b/>
                <w:bCs/>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Times New Roman"/>
                <w:sz w:val="21"/>
                <w:szCs w:val="21"/>
              </w:rPr>
              <w:t>特殊或重大活动期间</w:t>
            </w:r>
          </w:p>
        </w:tc>
        <w:tc>
          <w:tcPr>
            <w:tcW w:w="2289" w:type="dxa"/>
            <w:vAlign w:val="center"/>
          </w:tcPr>
          <w:p>
            <w:pPr>
              <w:snapToGrid w:val="0"/>
              <w:spacing w:line="240" w:lineRule="exact"/>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bCs/>
                <w:sz w:val="21"/>
                <w:szCs w:val="21"/>
              </w:rPr>
              <w:t>重污染天气预警期间</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违法次数</w:t>
            </w: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两年内未受到过同类处罚</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spacing w:line="240" w:lineRule="exact"/>
              <w:ind w:firstLine="422"/>
              <w:jc w:val="center"/>
              <w:rPr>
                <w:rFonts w:ascii="Times New Roman" w:hAnsi="Times New Roman" w:cs="Times New Roman"/>
                <w:b/>
                <w:bCs/>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1</w:t>
            </w:r>
            <w:r>
              <w:rPr>
                <w:rFonts w:hint="eastAsia" w:ascii="Times New Roman" w:hAnsi="Times New Roman" w:cs="仿宋_GB2312"/>
                <w:sz w:val="21"/>
                <w:szCs w:val="21"/>
              </w:rPr>
              <w:t>次</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jc w:val="center"/>
              <w:rPr>
                <w:rFonts w:ascii="Times New Roman" w:hAnsi="Times New Roman" w:cs="Times New Roman"/>
                <w:color w:val="000000"/>
                <w:sz w:val="21"/>
                <w:szCs w:val="21"/>
              </w:rPr>
            </w:pPr>
          </w:p>
        </w:tc>
        <w:tc>
          <w:tcPr>
            <w:tcW w:w="5649" w:type="dxa"/>
            <w:vAlign w:val="center"/>
          </w:tcPr>
          <w:p>
            <w:pPr>
              <w:snapToGrid w:val="0"/>
              <w:spacing w:line="240" w:lineRule="exact"/>
              <w:jc w:val="center"/>
              <w:rPr>
                <w:rFonts w:ascii="Times New Roman" w:hAnsi="Times New Roman" w:cs="Times New Roman"/>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2</w:t>
            </w:r>
            <w:r>
              <w:rPr>
                <w:rFonts w:hint="eastAsia" w:ascii="Times New Roman" w:hAnsi="Times New Roman" w:cs="仿宋_GB2312"/>
                <w:sz w:val="21"/>
                <w:szCs w:val="21"/>
              </w:rPr>
              <w:t>次及以上</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exact"/>
              <w:ind w:left="0" w:leftChars="0" w:firstLine="0" w:firstLineChars="0"/>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是否配合执法检查</w:t>
            </w:r>
          </w:p>
        </w:tc>
        <w:tc>
          <w:tcPr>
            <w:tcW w:w="5649" w:type="dxa"/>
            <w:vAlign w:val="center"/>
          </w:tcPr>
          <w:p>
            <w:pPr>
              <w:snapToGrid w:val="0"/>
              <w:spacing w:line="24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配合调查</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exact"/>
              <w:jc w:val="center"/>
              <w:rPr>
                <w:rFonts w:ascii="Times New Roman" w:hAnsi="Times New Roman" w:cs="Times New Roman"/>
                <w:color w:val="000000"/>
                <w:sz w:val="21"/>
                <w:szCs w:val="21"/>
              </w:rPr>
            </w:pPr>
          </w:p>
        </w:tc>
        <w:tc>
          <w:tcPr>
            <w:tcW w:w="5649" w:type="dxa"/>
            <w:vAlign w:val="center"/>
          </w:tcPr>
          <w:p>
            <w:pPr>
              <w:snapToGrid w:val="0"/>
              <w:spacing w:line="24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不配合调查，拒绝提供证据</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snapToGrid w:val="0"/>
              <w:spacing w:line="240" w:lineRule="exact"/>
              <w:jc w:val="center"/>
              <w:rPr>
                <w:rFonts w:ascii="Times New Roman" w:hAnsi="Times New Roman" w:cs="Times New Roman"/>
                <w:color w:val="000000"/>
                <w:sz w:val="21"/>
                <w:szCs w:val="21"/>
              </w:rPr>
            </w:pPr>
          </w:p>
        </w:tc>
        <w:tc>
          <w:tcPr>
            <w:tcW w:w="5649" w:type="dxa"/>
            <w:vAlign w:val="center"/>
          </w:tcPr>
          <w:p>
            <w:pPr>
              <w:snapToGrid w:val="0"/>
              <w:spacing w:line="240" w:lineRule="exact"/>
              <w:jc w:val="center"/>
              <w:rPr>
                <w:rFonts w:ascii="Times New Roman" w:hAnsi="Times New Roman" w:cs="仿宋_GB2312"/>
                <w:sz w:val="21"/>
                <w:szCs w:val="21"/>
              </w:rPr>
            </w:pPr>
            <w:r>
              <w:rPr>
                <w:rFonts w:hint="eastAsia" w:ascii="Times New Roman" w:hAnsi="Times New Roman" w:cs="仿宋_GB2312"/>
                <w:color w:val="000000"/>
                <w:sz w:val="21"/>
                <w:szCs w:val="21"/>
              </w:rPr>
              <w:t>伪造变造证据、弄虚作假的</w:t>
            </w:r>
          </w:p>
        </w:tc>
        <w:tc>
          <w:tcPr>
            <w:tcW w:w="2289" w:type="dxa"/>
            <w:vAlign w:val="center"/>
          </w:tcPr>
          <w:p>
            <w:pPr>
              <w:snapToGrid w:val="0"/>
              <w:spacing w:line="240" w:lineRule="exac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exac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备注</w:t>
            </w:r>
          </w:p>
        </w:tc>
        <w:tc>
          <w:tcPr>
            <w:tcW w:w="7938" w:type="dxa"/>
            <w:gridSpan w:val="2"/>
            <w:vAlign w:val="center"/>
          </w:tcPr>
          <w:p>
            <w:pPr>
              <w:snapToGrid w:val="0"/>
              <w:spacing w:line="240" w:lineRule="exact"/>
              <w:jc w:val="center"/>
              <w:rPr>
                <w:rFonts w:ascii="Times New Roman" w:hAnsi="Times New Roman" w:cs="Times New Roman"/>
                <w:color w:val="000000"/>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tbl>
      <w:tblPr>
        <w:tblStyle w:val="11"/>
        <w:tblW w:w="930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982"/>
        <w:gridCol w:w="367"/>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06" w:type="dxa"/>
            <w:gridSpan w:val="4"/>
            <w:vAlign w:val="center"/>
          </w:tcPr>
          <w:p>
            <w:pPr>
              <w:snapToGrid w:val="0"/>
              <w:spacing w:line="260" w:lineRule="exact"/>
              <w:ind w:firstLine="422"/>
              <w:jc w:val="center"/>
              <w:rPr>
                <w:rFonts w:ascii="Times New Roman" w:hAnsi="Times New Roman" w:cs="Times New Roman"/>
                <w:color w:val="000000"/>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60" w:lineRule="exact"/>
              <w:ind w:firstLine="422"/>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序号</w:t>
            </w:r>
          </w:p>
        </w:tc>
        <w:tc>
          <w:tcPr>
            <w:tcW w:w="7938" w:type="dxa"/>
            <w:gridSpan w:val="3"/>
            <w:vAlign w:val="center"/>
          </w:tcPr>
          <w:p>
            <w:pPr>
              <w:snapToGrid w:val="0"/>
              <w:spacing w:line="260" w:lineRule="exact"/>
              <w:jc w:val="center"/>
              <w:rPr>
                <w:rFonts w:ascii="Times New Roman" w:hAnsi="Times New Roman" w:cs="Times New Roman"/>
                <w:color w:val="FF0000"/>
                <w:sz w:val="21"/>
                <w:szCs w:val="21"/>
              </w:rPr>
            </w:pPr>
            <w:r>
              <w:rPr>
                <w:rFonts w:hint="eastAsia"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Align w:val="center"/>
          </w:tcPr>
          <w:p>
            <w:pPr>
              <w:snapToGrid w:val="0"/>
              <w:spacing w:line="260" w:lineRule="exac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违法行为</w:t>
            </w:r>
          </w:p>
        </w:tc>
        <w:tc>
          <w:tcPr>
            <w:tcW w:w="7938" w:type="dxa"/>
            <w:gridSpan w:val="3"/>
            <w:vAlign w:val="center"/>
          </w:tcPr>
          <w:p>
            <w:pPr>
              <w:snapToGrid w:val="0"/>
              <w:spacing w:line="260" w:lineRule="exact"/>
              <w:jc w:val="left"/>
              <w:rPr>
                <w:rFonts w:ascii="Times New Roman" w:hAnsi="Times New Roman" w:cs="Times New Roman"/>
                <w:sz w:val="21"/>
                <w:szCs w:val="21"/>
              </w:rPr>
            </w:pPr>
            <w:r>
              <w:rPr>
                <w:rFonts w:hint="eastAsia" w:ascii="Times New Roman" w:hAnsi="Times New Roman" w:cs="Times New Roman"/>
                <w:sz w:val="21"/>
                <w:szCs w:val="21"/>
              </w:rPr>
              <w:t>拒不执行市人民政府责令停产、限产决定的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60" w:lineRule="exac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违反条款</w:t>
            </w:r>
          </w:p>
        </w:tc>
        <w:tc>
          <w:tcPr>
            <w:tcW w:w="7938" w:type="dxa"/>
            <w:gridSpan w:val="3"/>
          </w:tcPr>
          <w:p>
            <w:pPr>
              <w:snapToGrid w:val="0"/>
              <w:spacing w:line="260" w:lineRule="exact"/>
              <w:ind w:firstLine="422"/>
              <w:rPr>
                <w:rFonts w:ascii="Times New Roman" w:hAnsi="Times New Roman" w:cs="Times New Roman"/>
                <w:b w:val="0"/>
                <w:bCs w:val="0"/>
                <w:sz w:val="21"/>
                <w:szCs w:val="21"/>
              </w:rPr>
            </w:pPr>
            <w:r>
              <w:rPr>
                <w:rFonts w:hint="eastAsia" w:ascii="Times New Roman" w:hAnsi="Times New Roman" w:cs="仿宋_GB2312"/>
                <w:b w:val="0"/>
                <w:bCs w:val="0"/>
                <w:sz w:val="21"/>
                <w:szCs w:val="21"/>
              </w:rPr>
              <w:t>《郑州市大气污染防治条例》第二十六条</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在大气受到严重污染、发生或者可能发生危害公众健康和安全的紧急情况下，市人民政府应当及时发布空气重污染预警信息，并按照应急预案采取责令有关企业停产或者限产、限制部分机动车行驶、禁止燃放烟花爆竹、停止工地土石方作业和建筑拆除施工、停止露天烧烤、减少或者停止幼儿园和学校户外体育课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60" w:lineRule="exac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处罚依据</w:t>
            </w:r>
          </w:p>
        </w:tc>
        <w:tc>
          <w:tcPr>
            <w:tcW w:w="7938" w:type="dxa"/>
            <w:gridSpan w:val="3"/>
          </w:tcPr>
          <w:p>
            <w:pPr>
              <w:snapToGrid w:val="0"/>
              <w:spacing w:line="260" w:lineRule="exact"/>
              <w:ind w:firstLine="422"/>
              <w:rPr>
                <w:rFonts w:ascii="Times New Roman" w:hAnsi="Times New Roman" w:cs="Times New Roman"/>
                <w:b w:val="0"/>
                <w:bCs w:val="0"/>
                <w:sz w:val="21"/>
                <w:szCs w:val="21"/>
              </w:rPr>
            </w:pPr>
            <w:r>
              <w:rPr>
                <w:rFonts w:hint="eastAsia" w:ascii="Times New Roman" w:hAnsi="Times New Roman" w:cs="仿宋_GB2312"/>
                <w:b w:val="0"/>
                <w:bCs w:val="0"/>
                <w:sz w:val="21"/>
                <w:szCs w:val="21"/>
              </w:rPr>
              <w:t>《郑州市大气污染防治条例》第五十七条第一款</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违反本条例第二十六条规定，拒不执行市人民政府责令停产、限产决定的，由生态环境主管部门处一万元以上十万元以下罚款；拒不执行停止工地土石方作业、建筑拆除施工的，由城乡建设行政主管部门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60" w:lineRule="exac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裁量因素</w:t>
            </w:r>
          </w:p>
        </w:tc>
        <w:tc>
          <w:tcPr>
            <w:tcW w:w="5982" w:type="dxa"/>
            <w:vAlign w:val="center"/>
          </w:tcPr>
          <w:p>
            <w:pPr>
              <w:snapToGrid w:val="0"/>
              <w:spacing w:line="260" w:lineRule="exact"/>
              <w:ind w:firstLine="422"/>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判定标准</w:t>
            </w:r>
          </w:p>
        </w:tc>
        <w:tc>
          <w:tcPr>
            <w:tcW w:w="1956" w:type="dxa"/>
            <w:gridSpan w:val="2"/>
            <w:vAlign w:val="center"/>
          </w:tcPr>
          <w:p>
            <w:pPr>
              <w:snapToGrid w:val="0"/>
              <w:spacing w:line="260" w:lineRule="exact"/>
              <w:ind w:firstLine="422"/>
              <w:jc w:val="center"/>
              <w:rPr>
                <w:rFonts w:ascii="Times New Roman" w:hAnsi="Times New Roman" w:cs="Times New Roman"/>
                <w:color w:val="000000"/>
                <w:sz w:val="21"/>
                <w:szCs w:val="21"/>
              </w:rPr>
            </w:pPr>
            <w:r>
              <w:rPr>
                <w:rFonts w:hint="eastAsia" w:ascii="Times New Roman" w:hAnsi="Times New Roman" w:cs="宋体"/>
                <w:b/>
                <w:bCs/>
                <w:color w:val="000000"/>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68" w:type="dxa"/>
            <w:vMerge w:val="restart"/>
            <w:vAlign w:val="center"/>
          </w:tcPr>
          <w:p>
            <w:pPr>
              <w:snapToGrid w:val="0"/>
              <w:spacing w:line="260" w:lineRule="exact"/>
              <w:ind w:left="0" w:leftChars="0" w:firstLine="0" w:firstLineChars="0"/>
              <w:jc w:val="both"/>
              <w:rPr>
                <w:rFonts w:ascii="Times New Roman" w:hAnsi="Times New Roman" w:cs="Times New Roman"/>
                <w:b/>
                <w:bCs/>
                <w:sz w:val="21"/>
                <w:szCs w:val="21"/>
              </w:rPr>
            </w:pPr>
            <w:r>
              <w:rPr>
                <w:rFonts w:hint="eastAsia" w:ascii="仿宋_GB2312" w:hAnsi="仿宋_GB2312" w:cs="仿宋_GB2312"/>
                <w:b/>
                <w:bCs/>
                <w:color w:val="000000"/>
                <w:sz w:val="21"/>
                <w:szCs w:val="21"/>
              </w:rPr>
              <w:t>★</w:t>
            </w:r>
            <w:r>
              <w:rPr>
                <w:rFonts w:hint="eastAsia" w:ascii="Times New Roman" w:hAnsi="Times New Roman" w:cs="宋体"/>
                <w:b/>
                <w:bCs/>
                <w:color w:val="000000"/>
                <w:sz w:val="21"/>
                <w:szCs w:val="21"/>
              </w:rPr>
              <w:t>违法行为发生时期环境敏感度</w:t>
            </w:r>
          </w:p>
        </w:tc>
        <w:tc>
          <w:tcPr>
            <w:tcW w:w="5982" w:type="dxa"/>
            <w:vAlign w:val="center"/>
          </w:tcPr>
          <w:p>
            <w:pPr>
              <w:snapToGrid w:val="0"/>
              <w:spacing w:line="260" w:lineRule="exact"/>
              <w:ind w:left="0" w:leftChars="0" w:firstLine="0" w:firstLineChars="0"/>
              <w:jc w:val="both"/>
              <w:rPr>
                <w:rFonts w:ascii="Times New Roman" w:hAnsi="Times New Roman" w:cs="仿宋_GB2312"/>
                <w:bCs/>
                <w:sz w:val="21"/>
                <w:szCs w:val="21"/>
              </w:rPr>
            </w:pPr>
            <w:r>
              <w:rPr>
                <w:rFonts w:hint="eastAsia" w:ascii="Times New Roman" w:hAnsi="Times New Roman" w:cs="仿宋_GB2312"/>
                <w:bCs/>
                <w:sz w:val="21"/>
                <w:szCs w:val="21"/>
              </w:rPr>
              <w:t>特殊或重大活动期间或者重污染天气黄色预警期间</w:t>
            </w:r>
          </w:p>
        </w:tc>
        <w:tc>
          <w:tcPr>
            <w:tcW w:w="1956" w:type="dxa"/>
            <w:gridSpan w:val="2"/>
            <w:vAlign w:val="center"/>
          </w:tcPr>
          <w:p>
            <w:pPr>
              <w:snapToGrid w:val="0"/>
              <w:spacing w:line="260" w:lineRule="exact"/>
              <w:ind w:firstLine="422"/>
              <w:jc w:val="center"/>
              <w:rPr>
                <w:rFonts w:ascii="Times New Roman" w:hAnsi="Times New Roman" w:cs="Times New Roman"/>
                <w:b w:val="0"/>
                <w:bCs w:val="0"/>
                <w:color w:val="000000"/>
                <w:sz w:val="21"/>
                <w:szCs w:val="21"/>
              </w:rPr>
            </w:pPr>
            <w:r>
              <w:rPr>
                <w:rFonts w:hint="eastAsia" w:ascii="Times New Roman" w:hAnsi="Times New Roman" w:cs="Times New Roman"/>
                <w:b w:val="0"/>
                <w:bCs w:val="0"/>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仿宋_GB2312" w:hAnsi="仿宋_GB2312" w:cs="仿宋_GB2312"/>
                <w:b/>
                <w:bCs/>
                <w:color w:val="000000"/>
                <w:sz w:val="21"/>
                <w:szCs w:val="21"/>
              </w:rPr>
            </w:pP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重污染天气橙色预警期间</w:t>
            </w:r>
          </w:p>
        </w:tc>
        <w:tc>
          <w:tcPr>
            <w:tcW w:w="1956" w:type="dxa"/>
            <w:gridSpan w:val="2"/>
            <w:vAlign w:val="center"/>
          </w:tcPr>
          <w:p>
            <w:pPr>
              <w:snapToGrid w:val="0"/>
              <w:spacing w:line="260" w:lineRule="exact"/>
              <w:ind w:firstLine="422"/>
              <w:jc w:val="center"/>
              <w:rPr>
                <w:rFonts w:ascii="Times New Roman" w:hAnsi="Times New Roman" w:cs="Times New Roman"/>
                <w:b w:val="0"/>
                <w:bCs w:val="0"/>
                <w:color w:val="000000" w:themeColor="text1"/>
                <w:sz w:val="21"/>
                <w:szCs w:val="21"/>
              </w:rPr>
            </w:pPr>
            <w:r>
              <w:rPr>
                <w:rFonts w:hint="eastAsia" w:ascii="Times New Roman" w:hAnsi="Times New Roman" w:cs="Times New Roman"/>
                <w:b w:val="0"/>
                <w:bCs w:val="0"/>
                <w:color w:val="000000" w:themeColor="text1"/>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sz w:val="21"/>
                <w:szCs w:val="21"/>
              </w:rPr>
            </w:pP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重污染天气红色预警期间</w:t>
            </w:r>
          </w:p>
        </w:tc>
        <w:tc>
          <w:tcPr>
            <w:tcW w:w="1956" w:type="dxa"/>
            <w:gridSpan w:val="2"/>
            <w:vAlign w:val="center"/>
          </w:tcPr>
          <w:p>
            <w:pPr>
              <w:snapToGrid w:val="0"/>
              <w:spacing w:line="260" w:lineRule="exact"/>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60" w:lineRule="exact"/>
              <w:ind w:left="0" w:leftChars="0" w:firstLine="0" w:firstLineChars="0"/>
              <w:jc w:val="both"/>
              <w:rPr>
                <w:rFonts w:ascii="Times New Roman" w:hAnsi="Times New Roman" w:cs="Times New Roman"/>
                <w:color w:val="000000"/>
                <w:sz w:val="21"/>
                <w:szCs w:val="21"/>
              </w:rPr>
            </w:pPr>
            <w:r>
              <w:rPr>
                <w:rFonts w:hint="eastAsia" w:ascii="Times New Roman" w:hAnsi="Times New Roman" w:cs="宋体"/>
                <w:b/>
                <w:bCs/>
                <w:color w:val="000000"/>
                <w:sz w:val="21"/>
                <w:szCs w:val="21"/>
              </w:rPr>
              <w:t>企业规模</w:t>
            </w: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微型企业</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color w:val="000000"/>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小型企业</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color w:val="000000"/>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中型企业</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color w:val="000000"/>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大型企业</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60" w:lineRule="exact"/>
              <w:ind w:left="0" w:leftChars="0" w:firstLine="0" w:firstLineChars="0"/>
              <w:jc w:val="both"/>
              <w:rPr>
                <w:rFonts w:ascii="Times New Roman" w:hAnsi="Times New Roman" w:cs="Times New Roman"/>
                <w:b/>
                <w:bCs/>
                <w:sz w:val="21"/>
                <w:szCs w:val="21"/>
              </w:rPr>
            </w:pPr>
            <w:r>
              <w:rPr>
                <w:rFonts w:hint="eastAsia" w:ascii="Times New Roman" w:hAnsi="Times New Roman" w:cs="Times New Roman"/>
                <w:b/>
                <w:bCs/>
                <w:sz w:val="21"/>
                <w:szCs w:val="21"/>
              </w:rPr>
              <w:t>持续时间</w:t>
            </w: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12小时以内</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宋体"/>
                <w:b/>
                <w:bCs/>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12小时-24小时</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宋体"/>
                <w:b/>
                <w:bCs/>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24小时-36小时</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36小时-48小时</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sz w:val="21"/>
                <w:szCs w:val="21"/>
              </w:rPr>
            </w:pPr>
          </w:p>
        </w:tc>
        <w:tc>
          <w:tcPr>
            <w:tcW w:w="5982" w:type="dxa"/>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48小时以上</w:t>
            </w:r>
          </w:p>
        </w:tc>
        <w:tc>
          <w:tcPr>
            <w:tcW w:w="1956" w:type="dxa"/>
            <w:gridSpan w:val="2"/>
            <w:vAlign w:val="center"/>
          </w:tcPr>
          <w:p>
            <w:pPr>
              <w:snapToGrid w:val="0"/>
              <w:spacing w:line="260" w:lineRule="exact"/>
              <w:jc w:val="center"/>
              <w:rPr>
                <w:rFonts w:ascii="Times New Roman" w:hAnsi="Times New Roman" w:cs="Times New Roman"/>
                <w:sz w:val="21"/>
                <w:szCs w:val="21"/>
              </w:rPr>
            </w:pPr>
            <w:r>
              <w:rPr>
                <w:rFonts w:hint="eastAsia"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60" w:lineRule="exac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违法次数</w:t>
            </w: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两年内未受到过同类处罚</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ind w:firstLine="422"/>
              <w:jc w:val="center"/>
              <w:rPr>
                <w:rFonts w:ascii="Times New Roman" w:hAnsi="Times New Roman" w:cs="Times New Roman"/>
                <w:b/>
                <w:bCs/>
                <w:color w:val="000000"/>
                <w:sz w:val="21"/>
                <w:szCs w:val="21"/>
              </w:rPr>
            </w:pP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两年内受到同类处罚</w:t>
            </w:r>
            <w:r>
              <w:rPr>
                <w:rFonts w:ascii="Times New Roman" w:hAnsi="Times New Roman" w:cs="仿宋_GB2312"/>
                <w:bCs/>
                <w:sz w:val="21"/>
                <w:szCs w:val="21"/>
              </w:rPr>
              <w:t>1</w:t>
            </w:r>
            <w:r>
              <w:rPr>
                <w:rFonts w:hint="eastAsia" w:ascii="Times New Roman" w:hAnsi="Times New Roman" w:cs="仿宋_GB2312"/>
                <w:bCs/>
                <w:sz w:val="21"/>
                <w:szCs w:val="21"/>
              </w:rPr>
              <w:t>次</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jc w:val="center"/>
              <w:rPr>
                <w:rFonts w:ascii="Times New Roman" w:hAnsi="Times New Roman" w:cs="Times New Roman"/>
                <w:color w:val="000000"/>
                <w:sz w:val="21"/>
                <w:szCs w:val="21"/>
              </w:rPr>
            </w:pP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两年内受到同类处罚</w:t>
            </w:r>
            <w:r>
              <w:rPr>
                <w:rFonts w:ascii="Times New Roman" w:hAnsi="Times New Roman" w:cs="仿宋_GB2312"/>
                <w:bCs/>
                <w:sz w:val="21"/>
                <w:szCs w:val="21"/>
              </w:rPr>
              <w:t>2</w:t>
            </w:r>
            <w:r>
              <w:rPr>
                <w:rFonts w:hint="eastAsia" w:ascii="Times New Roman" w:hAnsi="Times New Roman" w:cs="仿宋_GB2312"/>
                <w:bCs/>
                <w:sz w:val="21"/>
                <w:szCs w:val="21"/>
              </w:rPr>
              <w:t>次及以上</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60" w:lineRule="exact"/>
              <w:ind w:firstLine="0" w:firstLineChars="0"/>
              <w:rPr>
                <w:rFonts w:ascii="Times New Roman" w:hAnsi="Times New Roman" w:cs="仿宋_GB2312"/>
                <w:b/>
                <w:bCs w:val="0"/>
                <w:sz w:val="21"/>
                <w:szCs w:val="21"/>
              </w:rPr>
            </w:pPr>
            <w:r>
              <w:rPr>
                <w:rFonts w:hint="eastAsia" w:ascii="Times New Roman" w:hAnsi="Times New Roman" w:cs="仿宋_GB2312"/>
                <w:b/>
                <w:bCs w:val="0"/>
                <w:sz w:val="21"/>
                <w:szCs w:val="21"/>
              </w:rPr>
              <w:t>是否配合</w:t>
            </w:r>
          </w:p>
          <w:p>
            <w:pPr>
              <w:snapToGrid w:val="0"/>
              <w:spacing w:line="260" w:lineRule="exact"/>
              <w:ind w:firstLine="0" w:firstLineChars="0"/>
              <w:rPr>
                <w:rFonts w:ascii="Times New Roman" w:hAnsi="Times New Roman" w:cs="仿宋_GB2312"/>
                <w:bCs/>
                <w:sz w:val="21"/>
                <w:szCs w:val="21"/>
              </w:rPr>
            </w:pPr>
            <w:r>
              <w:rPr>
                <w:rFonts w:hint="eastAsia" w:ascii="Times New Roman" w:hAnsi="Times New Roman" w:cs="仿宋_GB2312"/>
                <w:b/>
                <w:bCs w:val="0"/>
                <w:sz w:val="21"/>
                <w:szCs w:val="21"/>
              </w:rPr>
              <w:t>执法检查</w:t>
            </w:r>
          </w:p>
        </w:tc>
        <w:tc>
          <w:tcPr>
            <w:tcW w:w="5982" w:type="dxa"/>
            <w:vAlign w:val="center"/>
          </w:tcPr>
          <w:p>
            <w:pPr>
              <w:snapToGrid w:val="0"/>
              <w:spacing w:line="260" w:lineRule="exact"/>
              <w:jc w:val="center"/>
              <w:rPr>
                <w:rFonts w:ascii="Times New Roman" w:hAnsi="Times New Roman" w:cs="仿宋_GB2312"/>
                <w:bCs/>
                <w:sz w:val="21"/>
                <w:szCs w:val="21"/>
              </w:rPr>
            </w:pPr>
            <w:r>
              <w:rPr>
                <w:rFonts w:hint="eastAsia" w:ascii="Times New Roman" w:hAnsi="Times New Roman" w:cs="仿宋_GB2312"/>
                <w:bCs/>
                <w:sz w:val="21"/>
                <w:szCs w:val="21"/>
              </w:rPr>
              <w:t>配合调查</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jc w:val="center"/>
              <w:rPr>
                <w:rFonts w:ascii="Times New Roman" w:hAnsi="Times New Roman" w:cs="仿宋_GB2312"/>
                <w:bCs/>
                <w:sz w:val="21"/>
                <w:szCs w:val="21"/>
              </w:rPr>
            </w:pPr>
          </w:p>
        </w:tc>
        <w:tc>
          <w:tcPr>
            <w:tcW w:w="5982" w:type="dxa"/>
            <w:vAlign w:val="center"/>
          </w:tcPr>
          <w:p>
            <w:pPr>
              <w:pStyle w:val="8"/>
              <w:snapToGrid w:val="0"/>
              <w:spacing w:line="260" w:lineRule="exact"/>
              <w:jc w:val="center"/>
              <w:rPr>
                <w:rFonts w:ascii="Times New Roman" w:hAnsi="Times New Roman" w:eastAsia="仿宋_GB2312" w:cs="仿宋_GB2312"/>
                <w:bCs/>
                <w:kern w:val="2"/>
                <w:sz w:val="21"/>
                <w:szCs w:val="21"/>
              </w:rPr>
            </w:pPr>
            <w:r>
              <w:rPr>
                <w:rFonts w:hint="eastAsia" w:ascii="Times New Roman" w:hAnsi="Times New Roman" w:eastAsia="仿宋_GB2312" w:cs="仿宋_GB2312"/>
                <w:bCs/>
                <w:kern w:val="2"/>
                <w:sz w:val="21"/>
                <w:szCs w:val="21"/>
              </w:rPr>
              <w:t>不配合调查，拒绝提供证据</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60" w:lineRule="exact"/>
              <w:jc w:val="center"/>
              <w:rPr>
                <w:rFonts w:ascii="Times New Roman" w:hAnsi="Times New Roman" w:cs="仿宋_GB2312"/>
                <w:bCs/>
                <w:sz w:val="21"/>
                <w:szCs w:val="21"/>
              </w:rPr>
            </w:pPr>
          </w:p>
        </w:tc>
        <w:tc>
          <w:tcPr>
            <w:tcW w:w="5982" w:type="dxa"/>
            <w:vAlign w:val="center"/>
          </w:tcPr>
          <w:p>
            <w:pPr>
              <w:pStyle w:val="8"/>
              <w:snapToGrid w:val="0"/>
              <w:spacing w:line="260" w:lineRule="exact"/>
              <w:jc w:val="center"/>
              <w:rPr>
                <w:rFonts w:ascii="Times New Roman" w:hAnsi="Times New Roman" w:eastAsia="仿宋_GB2312" w:cs="仿宋_GB2312"/>
                <w:bCs/>
                <w:kern w:val="2"/>
                <w:sz w:val="21"/>
                <w:szCs w:val="21"/>
              </w:rPr>
            </w:pPr>
            <w:r>
              <w:rPr>
                <w:rFonts w:hint="eastAsia" w:ascii="Times New Roman" w:hAnsi="Times New Roman" w:eastAsia="仿宋_GB2312" w:cs="仿宋_GB2312"/>
                <w:bCs/>
                <w:kern w:val="2"/>
                <w:sz w:val="21"/>
                <w:szCs w:val="21"/>
              </w:rPr>
              <w:t>伪造变造证据、弄虚作假的</w:t>
            </w:r>
          </w:p>
        </w:tc>
        <w:tc>
          <w:tcPr>
            <w:tcW w:w="1956" w:type="dxa"/>
            <w:gridSpan w:val="2"/>
            <w:vAlign w:val="center"/>
          </w:tcPr>
          <w:p>
            <w:pPr>
              <w:snapToGrid w:val="0"/>
              <w:spacing w:line="260" w:lineRule="exact"/>
              <w:jc w:val="center"/>
              <w:rPr>
                <w:rFonts w:ascii="Times New Roman" w:hAnsi="Times New Roman" w:cs="仿宋_GB2312"/>
                <w:bCs/>
                <w:sz w:val="21"/>
                <w:szCs w:val="21"/>
              </w:rPr>
            </w:pPr>
            <w:r>
              <w:rPr>
                <w:rFonts w:ascii="Times New Roman" w:hAnsi="Times New Roman" w:cs="仿宋_GB2312"/>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60" w:lineRule="exact"/>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备注</w:t>
            </w:r>
          </w:p>
        </w:tc>
        <w:tc>
          <w:tcPr>
            <w:tcW w:w="7938" w:type="dxa"/>
            <w:gridSpan w:val="3"/>
            <w:vAlign w:val="center"/>
          </w:tcPr>
          <w:p>
            <w:pPr>
              <w:snapToGrid w:val="0"/>
              <w:spacing w:line="26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06" w:type="dxa"/>
            <w:gridSpan w:val="4"/>
          </w:tcPr>
          <w:p>
            <w:pPr>
              <w:snapToGrid w:val="0"/>
              <w:spacing w:line="240" w:lineRule="atLeast"/>
              <w:ind w:firstLine="422"/>
              <w:jc w:val="center"/>
              <w:rPr>
                <w:rFonts w:hint="eastAsia" w:ascii="Times New Roman" w:hAnsi="Times New Roman" w:cs="仿宋_GB2312"/>
                <w:b/>
                <w:bCs/>
                <w:color w:val="000000"/>
                <w:sz w:val="21"/>
                <w:szCs w:val="21"/>
              </w:rPr>
            </w:pPr>
          </w:p>
          <w:p>
            <w:pPr>
              <w:snapToGrid w:val="0"/>
              <w:spacing w:line="240" w:lineRule="atLeast"/>
              <w:ind w:firstLine="422"/>
              <w:jc w:val="center"/>
              <w:rPr>
                <w:rFonts w:hint="eastAsia" w:ascii="Times New Roman" w:hAnsi="Times New Roman" w:cs="仿宋_GB2312"/>
                <w:b/>
                <w:bCs/>
                <w:color w:val="000000"/>
                <w:sz w:val="21"/>
                <w:szCs w:val="21"/>
              </w:rPr>
            </w:pPr>
          </w:p>
          <w:p>
            <w:pPr>
              <w:snapToGrid w:val="0"/>
              <w:spacing w:line="240" w:lineRule="atLeast"/>
              <w:ind w:firstLine="422"/>
              <w:jc w:val="center"/>
              <w:rPr>
                <w:rFonts w:hint="eastAsia" w:ascii="Times New Roman" w:hAnsi="Times New Roman" w:cs="仿宋_GB2312"/>
                <w:b/>
                <w:bCs/>
                <w:color w:val="000000"/>
                <w:sz w:val="21"/>
                <w:szCs w:val="21"/>
              </w:rPr>
            </w:pPr>
          </w:p>
          <w:p>
            <w:pPr>
              <w:snapToGrid w:val="0"/>
              <w:spacing w:line="240" w:lineRule="atLeast"/>
              <w:ind w:firstLine="422"/>
              <w:jc w:val="center"/>
              <w:rPr>
                <w:rFonts w:ascii="Times New Roman" w:hAnsi="Times New Roman" w:cs="Times New Roman"/>
                <w:color w:val="000000"/>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序号</w:t>
            </w:r>
          </w:p>
        </w:tc>
        <w:tc>
          <w:tcPr>
            <w:tcW w:w="7938" w:type="dxa"/>
            <w:gridSpan w:val="3"/>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违法行为</w:t>
            </w:r>
          </w:p>
        </w:tc>
        <w:tc>
          <w:tcPr>
            <w:tcW w:w="7938" w:type="dxa"/>
            <w:gridSpan w:val="3"/>
            <w:vAlign w:val="center"/>
          </w:tcPr>
          <w:p>
            <w:pPr>
              <w:snapToGrid w:val="0"/>
              <w:spacing w:before="62" w:line="240" w:lineRule="atLeast"/>
              <w:ind w:left="0" w:leftChars="0" w:firstLine="0" w:firstLineChars="0"/>
              <w:jc w:val="center"/>
              <w:rPr>
                <w:rFonts w:ascii="Times New Roman" w:hAnsi="Times New Roman" w:cs="Times New Roman"/>
                <w:sz w:val="21"/>
                <w:szCs w:val="21"/>
              </w:rPr>
            </w:pPr>
            <w:r>
              <w:rPr>
                <w:rFonts w:hint="eastAsia" w:ascii="Times New Roman" w:hAnsi="Times New Roman" w:cs="仿宋_GB2312"/>
                <w:sz w:val="21"/>
                <w:szCs w:val="21"/>
              </w:rPr>
              <w:t>超出规定的期限仍使用高污染燃料的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违反条款</w:t>
            </w:r>
          </w:p>
        </w:tc>
        <w:tc>
          <w:tcPr>
            <w:tcW w:w="7938" w:type="dxa"/>
            <w:gridSpan w:val="3"/>
          </w:tcPr>
          <w:p>
            <w:pPr>
              <w:snapToGrid w:val="0"/>
              <w:spacing w:before="62" w:line="240" w:lineRule="atLeast"/>
              <w:ind w:firstLine="482"/>
              <w:rPr>
                <w:rFonts w:ascii="Times New Roman" w:hAnsi="Times New Roman" w:cs="Times New Roman"/>
                <w:b w:val="0"/>
                <w:bCs w:val="0"/>
                <w:sz w:val="21"/>
                <w:szCs w:val="21"/>
              </w:rPr>
            </w:pPr>
            <w:r>
              <w:rPr>
                <w:rFonts w:hint="eastAsia" w:ascii="Times New Roman" w:hAnsi="Times New Roman" w:cs="仿宋_GB2312"/>
                <w:b w:val="0"/>
                <w:bCs w:val="0"/>
                <w:sz w:val="24"/>
              </w:rPr>
              <w:t>《郑州市大气污染防治条例》</w:t>
            </w:r>
            <w:r>
              <w:rPr>
                <w:rFonts w:hint="eastAsia" w:ascii="Times New Roman" w:hAnsi="Times New Roman" w:cs="仿宋_GB2312"/>
                <w:b w:val="0"/>
                <w:bCs w:val="0"/>
                <w:sz w:val="21"/>
                <w:szCs w:val="21"/>
              </w:rPr>
              <w:t>第二十八条 第二款 高污染燃料禁燃区范围内禁止销售、使用高污染燃料，现有使用高污染燃料的单位和个人，应当按照市、县（市）、上街区人民政府规定的期限改用清洁能源或者拆除使用高污染燃料的设施。</w:t>
            </w:r>
          </w:p>
          <w:p>
            <w:pPr>
              <w:snapToGrid w:val="0"/>
              <w:spacing w:line="240" w:lineRule="atLeast"/>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处罚依据</w:t>
            </w:r>
          </w:p>
        </w:tc>
        <w:tc>
          <w:tcPr>
            <w:tcW w:w="7938" w:type="dxa"/>
            <w:gridSpan w:val="3"/>
          </w:tcPr>
          <w:p>
            <w:pPr>
              <w:snapToGrid w:val="0"/>
              <w:spacing w:before="62" w:line="240" w:lineRule="atLeast"/>
              <w:ind w:firstLine="482"/>
              <w:rPr>
                <w:rFonts w:ascii="Times New Roman" w:hAnsi="Times New Roman" w:cs="仿宋_GB2312"/>
                <w:b w:val="0"/>
                <w:bCs w:val="0"/>
                <w:sz w:val="21"/>
                <w:szCs w:val="21"/>
              </w:rPr>
            </w:pPr>
            <w:r>
              <w:rPr>
                <w:rFonts w:hint="eastAsia" w:ascii="Times New Roman" w:hAnsi="Times New Roman" w:cs="仿宋_GB2312"/>
                <w:b w:val="0"/>
                <w:bCs w:val="0"/>
                <w:sz w:val="21"/>
                <w:szCs w:val="21"/>
              </w:rPr>
              <w:t>《郑州市大气污染防治条例》第五十八条</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违反本条例规定，有下列行为之一的，按照下列规定处罚：</w:t>
            </w:r>
          </w:p>
          <w:p>
            <w:pPr>
              <w:snapToGrid w:val="0"/>
              <w:spacing w:before="62" w:line="240" w:lineRule="atLeast"/>
              <w:rPr>
                <w:rFonts w:ascii="Times New Roman" w:hAnsi="Times New Roman" w:cs="Times New Roman"/>
                <w:b w:val="0"/>
                <w:bCs w:val="0"/>
                <w:sz w:val="21"/>
                <w:szCs w:val="21"/>
              </w:rPr>
            </w:pPr>
            <w:r>
              <w:rPr>
                <w:rFonts w:hint="eastAsia" w:ascii="Times New Roman" w:hAnsi="Times New Roman" w:cs="仿宋_GB2312"/>
                <w:b w:val="0"/>
                <w:bCs w:val="0"/>
                <w:sz w:val="21"/>
                <w:szCs w:val="21"/>
              </w:rPr>
              <w:t>（一）违反本条例第二十八条第二款规定，在高污染燃料禁燃区内销售高污染燃料，由质量技术监督管理部门责令改正，没收原材料、产品和违法所得，并处货值金额一倍以上三倍以下罚款；超出规定的期限仍使用高污染燃料的，由生态环境主管部门责令拆除或者没收燃用高污染燃料的设施，并处二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裁量因素</w:t>
            </w:r>
          </w:p>
        </w:tc>
        <w:tc>
          <w:tcPr>
            <w:tcW w:w="6349" w:type="dxa"/>
            <w:gridSpan w:val="2"/>
            <w:vAlign w:val="center"/>
          </w:tcPr>
          <w:p>
            <w:pPr>
              <w:snapToGrid w:val="0"/>
              <w:spacing w:line="240" w:lineRule="atLeast"/>
              <w:ind w:firstLine="422"/>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判定标准</w:t>
            </w:r>
          </w:p>
        </w:tc>
        <w:tc>
          <w:tcPr>
            <w:tcW w:w="1589"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8" w:type="dxa"/>
            <w:vMerge w:val="restart"/>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仿宋_GB2312" w:hAnsi="仿宋_GB2312" w:cs="仿宋_GB2312"/>
                <w:b/>
                <w:bCs/>
                <w:color w:val="000000"/>
                <w:sz w:val="21"/>
                <w:szCs w:val="21"/>
              </w:rPr>
              <w:t>★</w:t>
            </w:r>
            <w:r>
              <w:rPr>
                <w:rFonts w:hint="eastAsia" w:ascii="Times New Roman" w:hAnsi="Times New Roman" w:cs="宋体"/>
                <w:b/>
                <w:bCs/>
                <w:color w:val="000000"/>
                <w:sz w:val="21"/>
                <w:szCs w:val="21"/>
              </w:rPr>
              <w:t>违法事实</w:t>
            </w:r>
          </w:p>
        </w:tc>
        <w:tc>
          <w:tcPr>
            <w:tcW w:w="6349" w:type="dxa"/>
            <w:gridSpan w:val="2"/>
            <w:vAlign w:val="center"/>
          </w:tcPr>
          <w:p>
            <w:pPr>
              <w:snapToGrid w:val="0"/>
              <w:spacing w:line="240" w:lineRule="atLeast"/>
              <w:jc w:val="center"/>
              <w:rPr>
                <w:rFonts w:hint="eastAsia" w:ascii="Times New Roman" w:hAnsi="Times New Roman" w:eastAsia="仿宋_GB2312" w:cs="Times New Roman"/>
                <w:sz w:val="21"/>
                <w:szCs w:val="21"/>
                <w:lang w:eastAsia="zh-CN"/>
              </w:rPr>
            </w:pPr>
            <w:r>
              <w:rPr>
                <w:rFonts w:hint="eastAsia" w:ascii="Times New Roman" w:hAnsi="Times New Roman" w:cs="Times New Roman"/>
                <w:sz w:val="21"/>
                <w:szCs w:val="21"/>
              </w:rPr>
              <w:t>超出规定期限继续使用高污染燃料</w:t>
            </w:r>
            <w:r>
              <w:rPr>
                <w:rFonts w:hint="eastAsia" w:ascii="Times New Roman" w:hAnsi="Times New Roman" w:cs="Times New Roman"/>
                <w:sz w:val="21"/>
                <w:szCs w:val="21"/>
                <w:lang w:eastAsia="zh-CN"/>
              </w:rPr>
              <w:t>，未造成后果的</w:t>
            </w:r>
          </w:p>
        </w:tc>
        <w:tc>
          <w:tcPr>
            <w:tcW w:w="1589" w:type="dxa"/>
            <w:vAlign w:val="center"/>
          </w:tcPr>
          <w:p>
            <w:pPr>
              <w:snapToGrid w:val="0"/>
              <w:spacing w:line="240" w:lineRule="atLeast"/>
              <w:jc w:val="center"/>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368" w:type="dxa"/>
            <w:vMerge w:val="continue"/>
            <w:vAlign w:val="center"/>
          </w:tcPr>
          <w:p>
            <w:pPr>
              <w:snapToGrid w:val="0"/>
              <w:spacing w:line="240" w:lineRule="atLeast"/>
              <w:jc w:val="center"/>
            </w:pPr>
          </w:p>
        </w:tc>
        <w:tc>
          <w:tcPr>
            <w:tcW w:w="6349" w:type="dxa"/>
            <w:gridSpan w:val="2"/>
            <w:vAlign w:val="center"/>
          </w:tcPr>
          <w:p>
            <w:pPr>
              <w:snapToGrid w:val="0"/>
              <w:spacing w:line="240" w:lineRule="atLeast"/>
              <w:jc w:val="center"/>
              <w:rPr>
                <w:rFonts w:hint="eastAsia" w:ascii="Times New Roman" w:hAnsi="Times New Roman" w:cs="Times New Roman"/>
                <w:sz w:val="21"/>
                <w:szCs w:val="21"/>
              </w:rPr>
            </w:pPr>
            <w:r>
              <w:rPr>
                <w:rFonts w:hint="eastAsia" w:ascii="Times New Roman" w:hAnsi="Times New Roman" w:cs="Times New Roman"/>
                <w:sz w:val="21"/>
                <w:szCs w:val="21"/>
              </w:rPr>
              <w:t>超出规定期限继续使用高污染燃料，造成</w:t>
            </w:r>
            <w:r>
              <w:rPr>
                <w:rFonts w:hint="eastAsia" w:ascii="Times New Roman" w:hAnsi="Times New Roman" w:cs="Times New Roman"/>
                <w:sz w:val="21"/>
                <w:szCs w:val="21"/>
                <w:lang w:eastAsia="zh-CN"/>
              </w:rPr>
              <w:t>一般</w:t>
            </w:r>
            <w:r>
              <w:rPr>
                <w:rFonts w:hint="eastAsia" w:ascii="Times New Roman" w:hAnsi="Times New Roman" w:cs="Times New Roman"/>
                <w:sz w:val="21"/>
                <w:szCs w:val="21"/>
              </w:rPr>
              <w:t>后果的</w:t>
            </w:r>
          </w:p>
        </w:tc>
        <w:tc>
          <w:tcPr>
            <w:tcW w:w="1589" w:type="dxa"/>
            <w:vAlign w:val="center"/>
          </w:tcPr>
          <w:p>
            <w:pPr>
              <w:snapToGrid w:val="0"/>
              <w:spacing w:line="240" w:lineRule="atLeast"/>
              <w:jc w:val="center"/>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超出规定期限继续使用高污染燃料，并造成严重后果的</w:t>
            </w:r>
          </w:p>
        </w:tc>
        <w:tc>
          <w:tcPr>
            <w:tcW w:w="15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污染防治设施建设使用情况</w:t>
            </w: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已按照规定安装污染防治设施，且规范使用的</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未规范安装污染防治设施，或者未规范使用的</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未安装污染防治设施的，或者未使用的</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项目建设地点</w:t>
            </w: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符合环境功能区划</w:t>
            </w:r>
          </w:p>
        </w:tc>
        <w:tc>
          <w:tcPr>
            <w:tcW w:w="1589" w:type="dxa"/>
            <w:vAlign w:val="center"/>
          </w:tcPr>
          <w:p>
            <w:pPr>
              <w:snapToGrid w:val="0"/>
              <w:spacing w:line="240" w:lineRule="atLeast"/>
              <w:jc w:val="center"/>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宋体"/>
                <w:b/>
                <w:bCs/>
                <w:color w:val="000000"/>
                <w:sz w:val="21"/>
                <w:szCs w:val="21"/>
              </w:rPr>
            </w:pP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color w:val="000000"/>
                <w:sz w:val="21"/>
                <w:szCs w:val="21"/>
              </w:rPr>
              <w:t>不符合环境功能区划，但位于居住区、商业交通居民混合区、文化区、工业区和农村地区</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color w:val="000000"/>
                <w:sz w:val="21"/>
                <w:szCs w:val="21"/>
              </w:rPr>
              <w:t>不符合环境功能区划，但位于自然保护区、风景名胜区和其他需要特殊保护的区域</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违法次数</w:t>
            </w:r>
          </w:p>
        </w:tc>
        <w:tc>
          <w:tcPr>
            <w:tcW w:w="6349"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两年内未受到过同类处罚</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仿宋_GB2312"/>
                <w:color w:val="000000"/>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1</w:t>
            </w:r>
            <w:r>
              <w:rPr>
                <w:rFonts w:hint="eastAsia" w:ascii="Times New Roman" w:hAnsi="Times New Roman" w:cs="仿宋_GB2312"/>
                <w:sz w:val="21"/>
                <w:szCs w:val="21"/>
              </w:rPr>
              <w:t>次</w:t>
            </w:r>
          </w:p>
        </w:tc>
        <w:tc>
          <w:tcPr>
            <w:tcW w:w="1589" w:type="dxa"/>
            <w:vAlign w:val="center"/>
          </w:tcPr>
          <w:p>
            <w:pPr>
              <w:snapToGrid w:val="0"/>
              <w:spacing w:line="240" w:lineRule="atLeast"/>
              <w:jc w:val="center"/>
              <w:rPr>
                <w:rFonts w:ascii="Times New Roman" w:hAnsi="Times New Roman" w:cs="Times New Roman"/>
                <w:color w:val="000000"/>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仿宋_GB2312"/>
                <w:color w:val="000000"/>
                <w:sz w:val="21"/>
                <w:szCs w:val="21"/>
              </w:rPr>
            </w:pPr>
            <w:r>
              <w:rPr>
                <w:rFonts w:hint="eastAsia" w:ascii="Times New Roman" w:hAnsi="Times New Roman" w:cs="仿宋_GB2312"/>
                <w:sz w:val="21"/>
                <w:szCs w:val="21"/>
              </w:rPr>
              <w:t>两年内受到同类处罚</w:t>
            </w:r>
            <w:r>
              <w:rPr>
                <w:rFonts w:ascii="Times New Roman" w:hAnsi="Times New Roman" w:cs="Times New Roman"/>
                <w:sz w:val="21"/>
                <w:szCs w:val="21"/>
              </w:rPr>
              <w:t>2</w:t>
            </w:r>
            <w:r>
              <w:rPr>
                <w:rFonts w:hint="eastAsia" w:ascii="Times New Roman" w:hAnsi="Times New Roman" w:cs="仿宋_GB2312"/>
                <w:sz w:val="21"/>
                <w:szCs w:val="21"/>
              </w:rPr>
              <w:t>次及以上</w:t>
            </w:r>
          </w:p>
        </w:tc>
        <w:tc>
          <w:tcPr>
            <w:tcW w:w="1589" w:type="dxa"/>
            <w:vAlign w:val="center"/>
          </w:tcPr>
          <w:p>
            <w:pPr>
              <w:snapToGrid w:val="0"/>
              <w:spacing w:line="240" w:lineRule="atLeast"/>
              <w:jc w:val="center"/>
              <w:rPr>
                <w:rFonts w:ascii="Times New Roman" w:hAnsi="Times New Roman" w:cs="Times New Roman"/>
                <w:color w:val="000000"/>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restart"/>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是否配合执法检查</w:t>
            </w:r>
          </w:p>
        </w:tc>
        <w:tc>
          <w:tcPr>
            <w:tcW w:w="6349" w:type="dxa"/>
            <w:gridSpan w:val="2"/>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配合调查</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不配合调查，拒绝提供证据</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349" w:type="dxa"/>
            <w:gridSpan w:val="2"/>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伪造变造证据、弄虚作假的</w:t>
            </w:r>
          </w:p>
        </w:tc>
        <w:tc>
          <w:tcPr>
            <w:tcW w:w="15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snapToGrid w:val="0"/>
              <w:spacing w:line="240" w:lineRule="atLeast"/>
              <w:ind w:left="0" w:leftChars="0" w:firstLine="0" w:firstLineChars="0"/>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备注</w:t>
            </w:r>
          </w:p>
        </w:tc>
        <w:tc>
          <w:tcPr>
            <w:tcW w:w="7938" w:type="dxa"/>
            <w:gridSpan w:val="3"/>
            <w:vAlign w:val="center"/>
          </w:tcPr>
          <w:p>
            <w:pPr>
              <w:snapToGrid w:val="0"/>
              <w:spacing w:line="240" w:lineRule="atLeast"/>
              <w:jc w:val="center"/>
              <w:rPr>
                <w:rFonts w:ascii="Times New Roman" w:hAnsi="Times New Roman" w:cs="Times New Roman"/>
                <w:color w:val="000000"/>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tbl>
      <w:tblPr>
        <w:tblStyle w:val="11"/>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24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tcPr>
          <w:p>
            <w:pPr>
              <w:snapToGrid w:val="0"/>
              <w:spacing w:line="240" w:lineRule="atLeast"/>
              <w:ind w:firstLine="422"/>
              <w:jc w:val="center"/>
              <w:rPr>
                <w:rFonts w:ascii="Times New Roman" w:hAnsi="Times New Roman" w:cs="Times New Roman"/>
                <w:color w:val="000000"/>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序号</w:t>
            </w:r>
          </w:p>
        </w:tc>
        <w:tc>
          <w:tcPr>
            <w:tcW w:w="7938" w:type="dxa"/>
            <w:gridSpan w:val="2"/>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违法行为</w:t>
            </w:r>
          </w:p>
        </w:tc>
        <w:tc>
          <w:tcPr>
            <w:tcW w:w="7938" w:type="dxa"/>
            <w:gridSpan w:val="2"/>
            <w:vAlign w:val="center"/>
          </w:tcPr>
          <w:p>
            <w:pPr>
              <w:snapToGrid w:val="0"/>
              <w:spacing w:before="62" w:line="240" w:lineRule="atLeast"/>
              <w:rPr>
                <w:rFonts w:ascii="Times New Roman" w:hAnsi="Times New Roman" w:cs="Times New Roman"/>
                <w:b w:val="0"/>
                <w:bCs w:val="0"/>
                <w:sz w:val="21"/>
                <w:szCs w:val="21"/>
              </w:rPr>
            </w:pPr>
            <w:r>
              <w:rPr>
                <w:rFonts w:hint="eastAsia" w:ascii="Times New Roman" w:hAnsi="Times New Roman" w:cs="仿宋_GB2312"/>
                <w:b w:val="0"/>
                <w:bCs w:val="0"/>
                <w:sz w:val="21"/>
                <w:szCs w:val="21"/>
              </w:rPr>
              <w:t>提供饮食、洗浴、住宿等服务的单位和个人，未使用天然气、液化石油气、电或者其他清洁能源的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违反条款</w:t>
            </w:r>
          </w:p>
        </w:tc>
        <w:tc>
          <w:tcPr>
            <w:tcW w:w="7938" w:type="dxa"/>
            <w:gridSpan w:val="2"/>
          </w:tcPr>
          <w:p>
            <w:pPr>
              <w:snapToGrid w:val="0"/>
              <w:spacing w:before="62" w:line="240" w:lineRule="atLeast"/>
              <w:ind w:firstLine="482"/>
              <w:rPr>
                <w:rFonts w:ascii="Times New Roman" w:hAnsi="Times New Roman" w:cs="Times New Roman"/>
                <w:b w:val="0"/>
                <w:bCs w:val="0"/>
                <w:sz w:val="21"/>
                <w:szCs w:val="21"/>
              </w:rPr>
            </w:pPr>
            <w:r>
              <w:rPr>
                <w:rFonts w:hint="eastAsia" w:ascii="Times New Roman" w:hAnsi="Times New Roman" w:cs="仿宋_GB2312"/>
                <w:b w:val="0"/>
                <w:bCs w:val="0"/>
                <w:sz w:val="24"/>
              </w:rPr>
              <w:t>《郑州市大气污染防治条例》</w:t>
            </w:r>
            <w:r>
              <w:rPr>
                <w:rFonts w:hint="eastAsia" w:ascii="Times New Roman" w:hAnsi="Times New Roman" w:cs="仿宋_GB2312"/>
                <w:b w:val="0"/>
                <w:bCs w:val="0"/>
                <w:sz w:val="21"/>
                <w:szCs w:val="21"/>
              </w:rPr>
              <w:t>第三十条  提供饮食、洗浴、住宿等服务的单位和个人，应当使用天然气、液化石油气、电或者其他清洁能源。</w:t>
            </w:r>
          </w:p>
          <w:p>
            <w:pPr>
              <w:snapToGrid w:val="0"/>
              <w:spacing w:line="240" w:lineRule="atLeast"/>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处罚依据</w:t>
            </w:r>
          </w:p>
        </w:tc>
        <w:tc>
          <w:tcPr>
            <w:tcW w:w="7938" w:type="dxa"/>
            <w:gridSpan w:val="2"/>
          </w:tcPr>
          <w:p>
            <w:pPr>
              <w:snapToGrid w:val="0"/>
              <w:spacing w:before="62" w:line="240" w:lineRule="atLeast"/>
              <w:ind w:firstLine="482"/>
              <w:rPr>
                <w:rFonts w:ascii="Times New Roman" w:hAnsi="Times New Roman" w:cs="仿宋_GB2312"/>
                <w:b w:val="0"/>
                <w:bCs w:val="0"/>
                <w:sz w:val="21"/>
                <w:szCs w:val="21"/>
              </w:rPr>
            </w:pPr>
            <w:r>
              <w:rPr>
                <w:rFonts w:hint="eastAsia" w:ascii="Times New Roman" w:hAnsi="Times New Roman" w:cs="仿宋_GB2312"/>
                <w:b w:val="0"/>
                <w:bCs w:val="0"/>
                <w:sz w:val="24"/>
              </w:rPr>
              <w:t>《郑州市大气污染防治条例》</w:t>
            </w:r>
            <w:r>
              <w:rPr>
                <w:rFonts w:hint="eastAsia" w:ascii="Times New Roman" w:hAnsi="Times New Roman" w:cs="仿宋_GB2312"/>
                <w:b w:val="0"/>
                <w:bCs w:val="0"/>
                <w:sz w:val="21"/>
                <w:szCs w:val="21"/>
              </w:rPr>
              <w:t>第五十八条</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违反本条例规定，有下列行为之一的，按照下列规定处罚：</w:t>
            </w:r>
          </w:p>
          <w:p>
            <w:pPr>
              <w:snapToGrid w:val="0"/>
              <w:spacing w:before="62" w:line="240" w:lineRule="atLeast"/>
              <w:ind w:left="0" w:leftChars="0" w:firstLine="420" w:firstLineChars="200"/>
              <w:rPr>
                <w:rFonts w:ascii="Times New Roman" w:hAnsi="Times New Roman" w:cs="Times New Roman"/>
                <w:b w:val="0"/>
                <w:bCs w:val="0"/>
                <w:sz w:val="21"/>
                <w:szCs w:val="21"/>
              </w:rPr>
            </w:pPr>
            <w:r>
              <w:rPr>
                <w:rFonts w:hint="eastAsia" w:ascii="Times New Roman" w:hAnsi="Times New Roman" w:cs="仿宋_GB2312"/>
                <w:b w:val="0"/>
                <w:bCs w:val="0"/>
                <w:sz w:val="21"/>
                <w:szCs w:val="21"/>
              </w:rPr>
              <w:t>（二）违反本条例第三十条规定的，由生态环境主管部门责令限期改正，逾期不改正的，处一万元以上十万元以下罚款；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裁量因素</w:t>
            </w:r>
          </w:p>
        </w:tc>
        <w:tc>
          <w:tcPr>
            <w:tcW w:w="6249" w:type="dxa"/>
            <w:vAlign w:val="center"/>
          </w:tcPr>
          <w:p>
            <w:pPr>
              <w:snapToGrid w:val="0"/>
              <w:spacing w:line="240" w:lineRule="atLeast"/>
              <w:ind w:firstLine="422"/>
              <w:jc w:val="center"/>
              <w:rPr>
                <w:rFonts w:ascii="Times New Roman" w:hAnsi="Times New Roman" w:cs="Times New Roman"/>
                <w:b/>
                <w:bCs/>
                <w:color w:val="000000"/>
                <w:sz w:val="21"/>
                <w:szCs w:val="21"/>
              </w:rPr>
            </w:pPr>
            <w:r>
              <w:rPr>
                <w:rFonts w:hint="eastAsia" w:ascii="Times New Roman" w:hAnsi="Times New Roman" w:cs="宋体"/>
                <w:b/>
                <w:bCs/>
                <w:color w:val="000000"/>
                <w:sz w:val="21"/>
                <w:szCs w:val="21"/>
              </w:rPr>
              <w:t>判定标准</w:t>
            </w:r>
          </w:p>
        </w:tc>
        <w:tc>
          <w:tcPr>
            <w:tcW w:w="1689" w:type="dxa"/>
            <w:vAlign w:val="center"/>
          </w:tcPr>
          <w:p>
            <w:pPr>
              <w:snapToGrid w:val="0"/>
              <w:spacing w:line="240" w:lineRule="atLeast"/>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仿宋_GB2312" w:hAnsi="仿宋_GB2312" w:cs="仿宋_GB2312"/>
                <w:b/>
                <w:bCs/>
                <w:color w:val="000000"/>
                <w:sz w:val="21"/>
                <w:szCs w:val="21"/>
              </w:rPr>
              <w:t>★</w:t>
            </w:r>
            <w:r>
              <w:rPr>
                <w:rFonts w:hint="eastAsia" w:ascii="Times New Roman" w:hAnsi="Times New Roman" w:cs="宋体"/>
                <w:b/>
                <w:bCs/>
                <w:color w:val="000000"/>
                <w:sz w:val="21"/>
                <w:szCs w:val="21"/>
              </w:rPr>
              <w:t>违法事实</w:t>
            </w: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使用生物质等非清洁能源</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使用煤炭等非清洁能源</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使用渣油、重油等非清洁能源</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污染防治设施建设使用情况</w:t>
            </w: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已按照规定安装污染防治设施，且规范使用的</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未规范安装污染防治设施，或者未规范使用的</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sz w:val="21"/>
                <w:szCs w:val="21"/>
              </w:rPr>
              <w:t>未安装污染防治设施的，或者未使用的</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项目建设地点</w:t>
            </w: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符合环境功能区划</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宋体"/>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color w:val="000000"/>
                <w:sz w:val="21"/>
                <w:szCs w:val="21"/>
              </w:rPr>
              <w:t>不符合环境功能区划，但位于居住区、商业交通居民混合区、文化区、工业区和农村地区</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仿宋_GB2312"/>
                <w:color w:val="000000"/>
                <w:sz w:val="21"/>
                <w:szCs w:val="21"/>
              </w:rPr>
              <w:t>不符合环境功能区划，但位于自然保护区、风景名胜区和其他需要特殊保护的区域</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atLeast"/>
              <w:ind w:firstLine="422"/>
              <w:jc w:val="center"/>
              <w:rPr>
                <w:rFonts w:ascii="Times New Roman" w:hAnsi="Times New Roman" w:cs="宋体"/>
                <w:b/>
                <w:bCs/>
                <w:color w:val="000000"/>
                <w:sz w:val="21"/>
                <w:szCs w:val="21"/>
              </w:rPr>
            </w:pPr>
          </w:p>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企业规模</w:t>
            </w: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个人或个体工商户</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宋体"/>
                <w:b/>
                <w:bCs/>
                <w:color w:val="000000"/>
                <w:sz w:val="21"/>
                <w:szCs w:val="21"/>
              </w:rPr>
            </w:pPr>
          </w:p>
        </w:tc>
        <w:tc>
          <w:tcPr>
            <w:tcW w:w="624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微型企业</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仿宋_GB2312"/>
                <w:color w:val="000000"/>
                <w:sz w:val="21"/>
                <w:szCs w:val="21"/>
              </w:rPr>
            </w:pPr>
            <w:r>
              <w:rPr>
                <w:rFonts w:hint="eastAsia" w:ascii="Times New Roman" w:hAnsi="Times New Roman" w:cs="仿宋_GB2312"/>
                <w:color w:val="000000"/>
                <w:sz w:val="21"/>
                <w:szCs w:val="21"/>
              </w:rPr>
              <w:t>小型企业</w:t>
            </w:r>
          </w:p>
        </w:tc>
        <w:tc>
          <w:tcPr>
            <w:tcW w:w="1689" w:type="dxa"/>
            <w:vAlign w:val="center"/>
          </w:tcPr>
          <w:p>
            <w:pPr>
              <w:snapToGrid w:val="0"/>
              <w:spacing w:line="240" w:lineRule="atLeast"/>
              <w:jc w:val="center"/>
              <w:rPr>
                <w:rFonts w:ascii="Times New Roman" w:hAnsi="Times New Roman" w:cs="Times New Roman"/>
                <w:color w:val="000000"/>
                <w:sz w:val="21"/>
                <w:szCs w:val="21"/>
              </w:rPr>
            </w:pPr>
            <w:r>
              <w:rPr>
                <w:rFonts w:ascii="Times New Roman" w:hAnsi="Times New Roman"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仿宋_GB2312"/>
                <w:color w:val="000000"/>
                <w:sz w:val="21"/>
                <w:szCs w:val="21"/>
              </w:rPr>
            </w:pPr>
            <w:r>
              <w:rPr>
                <w:rFonts w:hint="eastAsia" w:ascii="Times New Roman" w:hAnsi="Times New Roman" w:cs="仿宋_GB2312"/>
                <w:color w:val="000000"/>
                <w:sz w:val="21"/>
                <w:szCs w:val="21"/>
              </w:rPr>
              <w:t>中型企业</w:t>
            </w:r>
          </w:p>
        </w:tc>
        <w:tc>
          <w:tcPr>
            <w:tcW w:w="1689" w:type="dxa"/>
            <w:vAlign w:val="center"/>
          </w:tcPr>
          <w:p>
            <w:pPr>
              <w:snapToGrid w:val="0"/>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仿宋_GB2312"/>
                <w:color w:val="000000"/>
                <w:sz w:val="21"/>
                <w:szCs w:val="21"/>
              </w:rPr>
            </w:pPr>
            <w:r>
              <w:rPr>
                <w:rFonts w:hint="eastAsia" w:ascii="Times New Roman" w:hAnsi="Times New Roman" w:cs="仿宋_GB2312"/>
                <w:color w:val="000000"/>
                <w:sz w:val="21"/>
                <w:szCs w:val="21"/>
              </w:rPr>
              <w:t>大型企业</w:t>
            </w:r>
          </w:p>
        </w:tc>
        <w:tc>
          <w:tcPr>
            <w:tcW w:w="1689" w:type="dxa"/>
            <w:vAlign w:val="center"/>
          </w:tcPr>
          <w:p>
            <w:pPr>
              <w:snapToGrid w:val="0"/>
              <w:spacing w:line="240" w:lineRule="atLeast"/>
              <w:jc w:val="center"/>
              <w:rPr>
                <w:rFonts w:ascii="Times New Roman" w:hAnsi="Times New Roman" w:cs="Times New Roman"/>
                <w:color w:val="000000"/>
                <w:sz w:val="21"/>
                <w:szCs w:val="21"/>
              </w:rPr>
            </w:pPr>
            <w:r>
              <w:rPr>
                <w:rFonts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是否配合执法检查</w:t>
            </w:r>
          </w:p>
        </w:tc>
        <w:tc>
          <w:tcPr>
            <w:tcW w:w="6249" w:type="dxa"/>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配合调查</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不配合调查，拒绝提供证据</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snapToGrid w:val="0"/>
              <w:spacing w:line="240" w:lineRule="atLeast"/>
              <w:ind w:firstLine="422"/>
              <w:jc w:val="center"/>
              <w:rPr>
                <w:rFonts w:ascii="Times New Roman" w:hAnsi="Times New Roman" w:cs="Times New Roman"/>
                <w:b/>
                <w:bCs/>
                <w:color w:val="000000"/>
                <w:sz w:val="21"/>
                <w:szCs w:val="21"/>
              </w:rPr>
            </w:pPr>
          </w:p>
        </w:tc>
        <w:tc>
          <w:tcPr>
            <w:tcW w:w="6249" w:type="dxa"/>
            <w:vAlign w:val="center"/>
          </w:tcPr>
          <w:p>
            <w:pPr>
              <w:snapToGrid w:val="0"/>
              <w:spacing w:line="240" w:lineRule="atLeast"/>
              <w:jc w:val="center"/>
              <w:rPr>
                <w:rFonts w:ascii="Times New Roman" w:hAnsi="Times New Roman" w:cs="仿宋_GB2312"/>
                <w:sz w:val="21"/>
                <w:szCs w:val="21"/>
              </w:rPr>
            </w:pPr>
            <w:r>
              <w:rPr>
                <w:rFonts w:hint="eastAsia" w:ascii="Times New Roman" w:hAnsi="Times New Roman" w:cs="仿宋_GB2312"/>
                <w:color w:val="000000"/>
                <w:sz w:val="21"/>
                <w:szCs w:val="21"/>
              </w:rPr>
              <w:t>伪造变造证据、弄虚作假的</w:t>
            </w:r>
          </w:p>
        </w:tc>
        <w:tc>
          <w:tcPr>
            <w:tcW w:w="1689" w:type="dxa"/>
            <w:vAlign w:val="center"/>
          </w:tcPr>
          <w:p>
            <w:pPr>
              <w:snapToGrid w:val="0"/>
              <w:spacing w:line="240" w:lineRule="atLeast"/>
              <w:jc w:val="center"/>
              <w:rPr>
                <w:rFonts w:ascii="Times New Roman" w:hAnsi="Times New Roman" w:cs="Times New Roman"/>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snapToGrid w:val="0"/>
              <w:spacing w:line="240" w:lineRule="atLeast"/>
              <w:ind w:left="0" w:leftChars="0" w:firstLine="0" w:firstLineChars="0"/>
              <w:jc w:val="both"/>
              <w:rPr>
                <w:rFonts w:ascii="Times New Roman" w:hAnsi="Times New Roman" w:cs="Times New Roman"/>
                <w:b/>
                <w:bCs/>
                <w:color w:val="000000"/>
                <w:sz w:val="21"/>
                <w:szCs w:val="21"/>
              </w:rPr>
            </w:pPr>
            <w:r>
              <w:rPr>
                <w:rFonts w:hint="eastAsia" w:ascii="Times New Roman" w:hAnsi="Times New Roman" w:cs="宋体"/>
                <w:b/>
                <w:bCs/>
                <w:color w:val="000000"/>
                <w:sz w:val="21"/>
                <w:szCs w:val="21"/>
              </w:rPr>
              <w:t>备注</w:t>
            </w:r>
          </w:p>
        </w:tc>
        <w:tc>
          <w:tcPr>
            <w:tcW w:w="7938" w:type="dxa"/>
            <w:gridSpan w:val="2"/>
            <w:vAlign w:val="center"/>
          </w:tcPr>
          <w:p>
            <w:pPr>
              <w:snapToGrid w:val="0"/>
              <w:spacing w:line="240" w:lineRule="atLeast"/>
              <w:jc w:val="center"/>
              <w:rPr>
                <w:rFonts w:ascii="Times New Roman" w:hAnsi="Times New Roman" w:cs="Times New Roman"/>
                <w:color w:val="000000"/>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p>
      <w:pPr>
        <w:adjustRightInd w:val="0"/>
        <w:snapToGrid w:val="0"/>
        <w:spacing w:line="240" w:lineRule="exact"/>
        <w:ind w:left="160" w:leftChars="50" w:right="160" w:rightChars="50" w:firstLine="0" w:firstLineChars="0"/>
        <w:rPr>
          <w:rFonts w:ascii="Times New Roman" w:hAnsi="Times New Roman" w:cs="仿宋_GB2312"/>
          <w:sz w:val="24"/>
        </w:rPr>
      </w:pPr>
    </w:p>
    <w:tbl>
      <w:tblPr>
        <w:tblStyle w:val="11"/>
        <w:tblW w:w="92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44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9" w:type="dxa"/>
            <w:gridSpan w:val="3"/>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b/>
                <w:bCs/>
                <w:color w:val="00000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938" w:type="dxa"/>
            <w:gridSpan w:val="2"/>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tc>
        <w:tc>
          <w:tcPr>
            <w:tcW w:w="7938" w:type="dxa"/>
            <w:gridSpan w:val="2"/>
            <w:vAlign w:val="center"/>
          </w:tcPr>
          <w:p>
            <w:pPr>
              <w:adjustRightInd w:val="0"/>
              <w:snapToGrid w:val="0"/>
              <w:spacing w:line="240" w:lineRule="exact"/>
              <w:ind w:left="160" w:leftChars="50" w:right="160" w:rightChars="50" w:firstLine="0" w:firstLineChars="0"/>
              <w:rPr>
                <w:rFonts w:ascii="Times New Roman" w:hAnsi="Times New Roman" w:cs="仿宋_GB2312"/>
                <w:sz w:val="21"/>
                <w:szCs w:val="21"/>
              </w:rPr>
            </w:pPr>
            <w:r>
              <w:rPr>
                <w:rFonts w:hint="eastAsia" w:ascii="Times New Roman" w:hAnsi="Times New Roman" w:cs="仿宋_GB2312"/>
                <w:sz w:val="21"/>
                <w:szCs w:val="21"/>
              </w:rPr>
              <w:t>工业企业堆存、装卸作业单位或者个人未采取扬尘污染防治措施的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违反条款</w:t>
            </w:r>
          </w:p>
        </w:tc>
        <w:tc>
          <w:tcPr>
            <w:tcW w:w="7938" w:type="dxa"/>
            <w:gridSpan w:val="2"/>
          </w:tcPr>
          <w:p>
            <w:pPr>
              <w:adjustRightInd w:val="0"/>
              <w:snapToGrid w:val="0"/>
              <w:spacing w:line="240" w:lineRule="exact"/>
              <w:ind w:left="160" w:leftChars="50" w:right="160" w:rightChars="50" w:firstLine="0" w:firstLineChars="0"/>
              <w:rPr>
                <w:rFonts w:ascii="Times New Roman" w:hAnsi="Times New Roman" w:cs="仿宋_GB2312"/>
                <w:b w:val="0"/>
                <w:bCs w:val="0"/>
                <w:sz w:val="21"/>
                <w:szCs w:val="21"/>
              </w:rPr>
            </w:pPr>
            <w:r>
              <w:rPr>
                <w:rFonts w:hint="eastAsia" w:ascii="Times New Roman" w:hAnsi="Times New Roman" w:cs="仿宋_GB2312"/>
                <w:b w:val="0"/>
                <w:bCs w:val="0"/>
                <w:sz w:val="21"/>
                <w:szCs w:val="21"/>
              </w:rPr>
              <w:t>《郑州市大气污染防治条例》第四十三条第一款</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堆存、装卸煤炭、水泥、石灰、石膏、渣土、砂石、垃圾等易产生扬尘的作业，作业单位或者个人应当采取遮盖、封闭、喷淋、围挡等有效措施，防止抛洒、扬尘。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处罚依据</w:t>
            </w:r>
          </w:p>
        </w:tc>
        <w:tc>
          <w:tcPr>
            <w:tcW w:w="7938" w:type="dxa"/>
            <w:gridSpan w:val="2"/>
          </w:tcPr>
          <w:p>
            <w:pPr>
              <w:adjustRightInd w:val="0"/>
              <w:snapToGrid w:val="0"/>
              <w:spacing w:line="240" w:lineRule="exact"/>
              <w:ind w:left="160" w:leftChars="50" w:right="160" w:rightChars="50" w:firstLine="0" w:firstLineChars="0"/>
              <w:rPr>
                <w:rFonts w:ascii="Times New Roman" w:hAnsi="Times New Roman" w:cs="仿宋_GB2312"/>
                <w:b w:val="0"/>
                <w:bCs w:val="0"/>
                <w:sz w:val="21"/>
                <w:szCs w:val="21"/>
              </w:rPr>
            </w:pPr>
            <w:r>
              <w:rPr>
                <w:rFonts w:hint="eastAsia" w:ascii="Times New Roman" w:hAnsi="Times New Roman" w:cs="仿宋_GB2312"/>
                <w:b w:val="0"/>
                <w:bCs w:val="0"/>
                <w:sz w:val="21"/>
                <w:szCs w:val="21"/>
              </w:rPr>
              <w:t>《郑州市大气污染防治条例》第五十八条</w:t>
            </w:r>
            <w:r>
              <w:rPr>
                <w:rFonts w:ascii="Times New Roman" w:hAnsi="Times New Roman" w:cs="仿宋_GB2312"/>
                <w:b w:val="0"/>
                <w:bCs w:val="0"/>
                <w:sz w:val="21"/>
                <w:szCs w:val="21"/>
              </w:rPr>
              <w:t xml:space="preserve">  </w:t>
            </w:r>
            <w:r>
              <w:rPr>
                <w:rFonts w:hint="eastAsia" w:ascii="Times New Roman" w:hAnsi="Times New Roman" w:cs="仿宋_GB2312"/>
                <w:b w:val="0"/>
                <w:bCs w:val="0"/>
                <w:sz w:val="21"/>
                <w:szCs w:val="21"/>
              </w:rPr>
              <w:t>违反本条例规定，有下列行为之一的，按照下列规定处罚：</w:t>
            </w:r>
          </w:p>
          <w:p>
            <w:pPr>
              <w:adjustRightInd w:val="0"/>
              <w:snapToGrid w:val="0"/>
              <w:spacing w:line="240" w:lineRule="exact"/>
              <w:ind w:left="160" w:leftChars="50" w:right="160" w:rightChars="50" w:firstLine="0" w:firstLineChars="0"/>
              <w:rPr>
                <w:rFonts w:ascii="Times New Roman" w:hAnsi="Times New Roman" w:cs="仿宋_GB2312"/>
                <w:b w:val="0"/>
                <w:bCs w:val="0"/>
                <w:sz w:val="21"/>
                <w:szCs w:val="21"/>
              </w:rPr>
            </w:pPr>
            <w:r>
              <w:rPr>
                <w:rFonts w:hint="eastAsia" w:ascii="Times New Roman" w:hAnsi="Times New Roman" w:cs="仿宋_GB2312"/>
                <w:b w:val="0"/>
                <w:bCs w:val="0"/>
                <w:sz w:val="21"/>
                <w:szCs w:val="21"/>
              </w:rPr>
              <w:t>　　（三）违反本条例第四十三条第一款规定，堆存、装卸作业单位或者个人未采取扬尘污染防治措施的，由市容和环境卫生行政主管部门责令限期改正，处一万元以上十万元以下罚款，其中，对工业企业，由生态环境主管部门责令限期改正，处一万元以上十万元以下罚款；对施工工地，由城乡建设行政主管部门责令限期改正，处一万元以上十万元以下罚款；</w:t>
            </w:r>
          </w:p>
          <w:p>
            <w:pPr>
              <w:adjustRightInd w:val="0"/>
              <w:snapToGrid w:val="0"/>
              <w:spacing w:line="240" w:lineRule="exact"/>
              <w:ind w:left="160" w:leftChars="50" w:right="160" w:rightChars="50" w:firstLine="0" w:firstLineChars="0"/>
              <w:rPr>
                <w:rFonts w:ascii="Times New Roman" w:hAnsi="Times New Roman"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裁量因素</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判定标准</w:t>
            </w:r>
          </w:p>
        </w:tc>
        <w:tc>
          <w:tcPr>
            <w:tcW w:w="1489" w:type="dxa"/>
            <w:vAlign w:val="center"/>
          </w:tcPr>
          <w:p>
            <w:pPr>
              <w:adjustRightInd w:val="0"/>
              <w:snapToGrid w:val="0"/>
              <w:spacing w:line="240" w:lineRule="exact"/>
              <w:ind w:left="160" w:leftChars="50" w:right="160" w:rightChars="50" w:firstLine="0" w:firstLineChars="0"/>
              <w:rPr>
                <w:rFonts w:ascii="Times New Roman" w:hAnsi="Times New Roman" w:cs="仿宋_GB2312"/>
                <w:b/>
                <w:bCs/>
                <w:sz w:val="21"/>
                <w:szCs w:val="21"/>
              </w:rPr>
            </w:pPr>
            <w:r>
              <w:rPr>
                <w:rFonts w:hint="eastAsia" w:ascii="Times New Roman" w:hAnsi="Times New Roman" w:cs="仿宋_GB2312"/>
                <w:b/>
                <w:bCs/>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★违法事实</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易产生扬尘的物料</w:t>
            </w:r>
            <w:r>
              <w:rPr>
                <w:rFonts w:ascii="Times New Roman" w:hAnsi="Times New Roman" w:cs="仿宋_GB2312"/>
                <w:sz w:val="21"/>
                <w:szCs w:val="21"/>
              </w:rPr>
              <w:t>100</w:t>
            </w:r>
            <w:r>
              <w:rPr>
                <w:rFonts w:hint="eastAsia" w:ascii="Times New Roman" w:hAnsi="Times New Roman" w:cs="仿宋_GB2312"/>
                <w:sz w:val="21"/>
                <w:szCs w:val="21"/>
              </w:rPr>
              <w:t>吨以下</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易产生扬尘的物料</w:t>
            </w:r>
            <w:r>
              <w:rPr>
                <w:rFonts w:ascii="Times New Roman" w:hAnsi="Times New Roman" w:cs="仿宋_GB2312"/>
                <w:sz w:val="21"/>
                <w:szCs w:val="21"/>
              </w:rPr>
              <w:t>100</w:t>
            </w:r>
            <w:r>
              <w:rPr>
                <w:rFonts w:hint="eastAsia" w:ascii="Times New Roman" w:hAnsi="Times New Roman" w:cs="仿宋_GB2312"/>
                <w:sz w:val="21"/>
                <w:szCs w:val="21"/>
              </w:rPr>
              <w:t>吨以上</w:t>
            </w:r>
            <w:r>
              <w:rPr>
                <w:rFonts w:ascii="Times New Roman" w:hAnsi="Times New Roman" w:cs="仿宋_GB2312"/>
                <w:sz w:val="21"/>
                <w:szCs w:val="21"/>
              </w:rPr>
              <w:t>500</w:t>
            </w:r>
            <w:r>
              <w:rPr>
                <w:rFonts w:hint="eastAsia" w:ascii="Times New Roman" w:hAnsi="Times New Roman" w:cs="仿宋_GB2312"/>
                <w:sz w:val="21"/>
                <w:szCs w:val="21"/>
              </w:rPr>
              <w:t>吨以下的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易产生扬尘的物料</w:t>
            </w:r>
            <w:r>
              <w:rPr>
                <w:rFonts w:ascii="Times New Roman" w:hAnsi="Times New Roman" w:cs="仿宋_GB2312"/>
                <w:sz w:val="21"/>
                <w:szCs w:val="21"/>
              </w:rPr>
              <w:t>500</w:t>
            </w:r>
            <w:r>
              <w:rPr>
                <w:rFonts w:hint="eastAsia" w:ascii="Times New Roman" w:hAnsi="Times New Roman" w:cs="仿宋_GB2312"/>
                <w:sz w:val="21"/>
                <w:szCs w:val="21"/>
              </w:rPr>
              <w:t>吨以上</w:t>
            </w:r>
            <w:r>
              <w:rPr>
                <w:rFonts w:ascii="Times New Roman" w:hAnsi="Times New Roman" w:cs="仿宋_GB2312"/>
                <w:sz w:val="21"/>
                <w:szCs w:val="21"/>
              </w:rPr>
              <w:t>1000</w:t>
            </w:r>
            <w:r>
              <w:rPr>
                <w:rFonts w:hint="eastAsia" w:ascii="Times New Roman" w:hAnsi="Times New Roman" w:cs="仿宋_GB2312"/>
                <w:sz w:val="21"/>
                <w:szCs w:val="21"/>
              </w:rPr>
              <w:t>吨以下的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易产生扬尘的物料</w:t>
            </w:r>
            <w:r>
              <w:rPr>
                <w:rFonts w:ascii="Times New Roman" w:hAnsi="Times New Roman" w:cs="仿宋_GB2312"/>
                <w:sz w:val="21"/>
                <w:szCs w:val="21"/>
              </w:rPr>
              <w:t>1000</w:t>
            </w:r>
            <w:r>
              <w:rPr>
                <w:rFonts w:hint="eastAsia" w:ascii="Times New Roman" w:hAnsi="Times New Roman" w:cs="仿宋_GB2312"/>
                <w:sz w:val="21"/>
                <w:szCs w:val="21"/>
              </w:rPr>
              <w:t>吨以上</w:t>
            </w:r>
            <w:r>
              <w:rPr>
                <w:rFonts w:ascii="Times New Roman" w:hAnsi="Times New Roman" w:cs="仿宋_GB2312"/>
                <w:sz w:val="21"/>
                <w:szCs w:val="21"/>
              </w:rPr>
              <w:t>2000</w:t>
            </w:r>
            <w:r>
              <w:rPr>
                <w:rFonts w:hint="eastAsia" w:ascii="Times New Roman" w:hAnsi="Times New Roman" w:cs="仿宋_GB2312"/>
                <w:sz w:val="21"/>
                <w:szCs w:val="21"/>
              </w:rPr>
              <w:t>吨以下的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易产生扬尘的物料</w:t>
            </w:r>
            <w:r>
              <w:rPr>
                <w:rFonts w:ascii="Times New Roman" w:hAnsi="Times New Roman" w:cs="仿宋_GB2312"/>
                <w:sz w:val="21"/>
                <w:szCs w:val="21"/>
              </w:rPr>
              <w:t>2000</w:t>
            </w:r>
            <w:r>
              <w:rPr>
                <w:rFonts w:hint="eastAsia" w:ascii="Times New Roman" w:hAnsi="Times New Roman" w:cs="仿宋_GB2312"/>
                <w:sz w:val="21"/>
                <w:szCs w:val="21"/>
              </w:rPr>
              <w:t>吨以上</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71" w:type="dxa"/>
            <w:vMerge w:val="restart"/>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项目建设地点</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符合环境功能规划</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r>
              <w:rPr>
                <w:rFonts w:hint="eastAsia" w:ascii="Times New Roman" w:hAnsi="Times New Roman" w:cs="仿宋_GB2312"/>
                <w:sz w:val="21"/>
                <w:szCs w:val="21"/>
              </w:rPr>
              <w:t>不符合环境功能规划，但位于居住区、商业交通居民混合区、文化区、工业区和农村地区</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不符合环境功能规划，但位于自然保护区、风景名胜区和其他需要特殊保护的区域</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占地面积</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占地面积</w:t>
            </w:r>
            <w:r>
              <w:rPr>
                <w:rFonts w:ascii="Times New Roman" w:hAnsi="Times New Roman" w:cs="仿宋_GB2312"/>
                <w:sz w:val="21"/>
                <w:szCs w:val="21"/>
              </w:rPr>
              <w:t>100m</w:t>
            </w:r>
            <w:r>
              <w:rPr>
                <w:rFonts w:ascii="Times New Roman" w:hAnsi="Times New Roman" w:cs="仿宋_GB2312"/>
                <w:sz w:val="21"/>
                <w:szCs w:val="21"/>
                <w:vertAlign w:val="superscript"/>
              </w:rPr>
              <w:t>2</w:t>
            </w:r>
            <w:r>
              <w:rPr>
                <w:rFonts w:hint="eastAsia" w:ascii="Times New Roman" w:hAnsi="Times New Roman" w:cs="仿宋_GB2312"/>
                <w:sz w:val="21"/>
                <w:szCs w:val="21"/>
              </w:rPr>
              <w:t>以内的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占地面积</w:t>
            </w:r>
            <w:r>
              <w:rPr>
                <w:rFonts w:ascii="Times New Roman" w:hAnsi="Times New Roman" w:cs="仿宋_GB2312"/>
                <w:sz w:val="21"/>
                <w:szCs w:val="21"/>
              </w:rPr>
              <w:t>100m</w:t>
            </w:r>
            <w:r>
              <w:rPr>
                <w:rFonts w:ascii="Times New Roman" w:hAnsi="Times New Roman" w:cs="仿宋_GB2312"/>
                <w:sz w:val="21"/>
                <w:szCs w:val="21"/>
                <w:vertAlign w:val="superscript"/>
              </w:rPr>
              <w:t>2</w:t>
            </w:r>
            <w:r>
              <w:rPr>
                <w:rFonts w:hint="eastAsia" w:ascii="Times New Roman" w:hAnsi="Times New Roman" w:cs="仿宋_GB2312"/>
                <w:sz w:val="21"/>
                <w:szCs w:val="21"/>
              </w:rPr>
              <w:t>以上</w:t>
            </w:r>
            <w:r>
              <w:rPr>
                <w:rFonts w:ascii="Times New Roman" w:hAnsi="Times New Roman" w:cs="仿宋_GB2312"/>
                <w:sz w:val="21"/>
                <w:szCs w:val="21"/>
              </w:rPr>
              <w:t>500m</w:t>
            </w:r>
            <w:r>
              <w:rPr>
                <w:rFonts w:ascii="Times New Roman" w:hAnsi="Times New Roman" w:cs="仿宋_GB2312"/>
                <w:sz w:val="21"/>
                <w:szCs w:val="21"/>
                <w:vertAlign w:val="superscript"/>
              </w:rPr>
              <w:t>2</w:t>
            </w:r>
            <w:r>
              <w:rPr>
                <w:rFonts w:hint="eastAsia" w:ascii="Times New Roman" w:hAnsi="Times New Roman" w:cs="仿宋_GB2312"/>
                <w:sz w:val="21"/>
                <w:szCs w:val="21"/>
              </w:rPr>
              <w:t>以内的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占地面积</w:t>
            </w:r>
            <w:r>
              <w:rPr>
                <w:rFonts w:ascii="Times New Roman" w:hAnsi="Times New Roman" w:cs="仿宋_GB2312"/>
                <w:sz w:val="21"/>
                <w:szCs w:val="21"/>
              </w:rPr>
              <w:t>500m</w:t>
            </w:r>
            <w:r>
              <w:rPr>
                <w:rFonts w:ascii="Times New Roman" w:hAnsi="Times New Roman" w:cs="仿宋_GB2312"/>
                <w:sz w:val="21"/>
                <w:szCs w:val="21"/>
                <w:vertAlign w:val="superscript"/>
              </w:rPr>
              <w:t>2</w:t>
            </w:r>
            <w:r>
              <w:rPr>
                <w:rFonts w:hint="eastAsia" w:ascii="Times New Roman" w:hAnsi="Times New Roman" w:cs="仿宋_GB2312"/>
                <w:sz w:val="21"/>
                <w:szCs w:val="21"/>
              </w:rPr>
              <w:t>以上的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违法次数</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两年内未受到过同类处罚</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两年内受到同类处罚</w:t>
            </w:r>
            <w:r>
              <w:rPr>
                <w:rFonts w:ascii="Times New Roman" w:hAnsi="Times New Roman" w:cs="仿宋_GB2312"/>
                <w:sz w:val="21"/>
                <w:szCs w:val="21"/>
              </w:rPr>
              <w:t>1</w:t>
            </w:r>
            <w:r>
              <w:rPr>
                <w:rFonts w:hint="eastAsia" w:ascii="Times New Roman" w:hAnsi="Times New Roman" w:cs="仿宋_GB2312"/>
                <w:sz w:val="21"/>
                <w:szCs w:val="21"/>
              </w:rPr>
              <w:t>次</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两年内受到同类处罚</w:t>
            </w:r>
            <w:r>
              <w:rPr>
                <w:rFonts w:ascii="Times New Roman" w:hAnsi="Times New Roman" w:cs="仿宋_GB2312"/>
                <w:sz w:val="21"/>
                <w:szCs w:val="21"/>
              </w:rPr>
              <w:t>2</w:t>
            </w:r>
            <w:r>
              <w:rPr>
                <w:rFonts w:hint="eastAsia" w:ascii="Times New Roman" w:hAnsi="Times New Roman" w:cs="仿宋_GB2312"/>
                <w:sz w:val="21"/>
                <w:szCs w:val="21"/>
              </w:rPr>
              <w:t>次及以上</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restart"/>
            <w:vAlign w:val="center"/>
          </w:tcPr>
          <w:p>
            <w:pPr>
              <w:adjustRightInd w:val="0"/>
              <w:snapToGrid w:val="0"/>
              <w:spacing w:line="240" w:lineRule="exact"/>
              <w:ind w:left="0" w:leftChars="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是否配合执法检查</w:t>
            </w: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配合调查</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不配合调查，拒绝提供证据</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Merge w:val="continue"/>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p>
        </w:tc>
        <w:tc>
          <w:tcPr>
            <w:tcW w:w="644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伪造变造证据、弄虚作假的</w:t>
            </w:r>
          </w:p>
        </w:tc>
        <w:tc>
          <w:tcPr>
            <w:tcW w:w="1489"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1" w:type="dxa"/>
            <w:vAlign w:val="center"/>
          </w:tcPr>
          <w:p>
            <w:pPr>
              <w:adjustRightInd w:val="0"/>
              <w:snapToGrid w:val="0"/>
              <w:spacing w:line="240" w:lineRule="exact"/>
              <w:ind w:left="160" w:leftChars="50" w:right="160" w:rightChars="50" w:firstLine="0" w:firstLineChars="0"/>
              <w:jc w:val="center"/>
              <w:rPr>
                <w:rFonts w:ascii="Times New Roman" w:hAnsi="Times New Roman" w:cs="仿宋_GB2312"/>
                <w:b/>
                <w:bCs/>
                <w:sz w:val="21"/>
                <w:szCs w:val="21"/>
              </w:rPr>
            </w:pPr>
            <w:r>
              <w:rPr>
                <w:rFonts w:hint="eastAsia" w:ascii="Times New Roman" w:hAnsi="Times New Roman" w:cs="仿宋_GB2312"/>
                <w:b/>
                <w:bCs/>
                <w:sz w:val="21"/>
                <w:szCs w:val="21"/>
              </w:rPr>
              <w:t>备注</w:t>
            </w:r>
          </w:p>
        </w:tc>
        <w:tc>
          <w:tcPr>
            <w:tcW w:w="7938" w:type="dxa"/>
            <w:gridSpan w:val="2"/>
            <w:vAlign w:val="center"/>
          </w:tcPr>
          <w:p>
            <w:pPr>
              <w:adjustRightInd w:val="0"/>
              <w:snapToGrid w:val="0"/>
              <w:spacing w:line="240" w:lineRule="exact"/>
              <w:ind w:left="160" w:leftChars="50" w:right="160" w:rightChars="50" w:firstLine="0" w:firstLineChars="0"/>
              <w:rPr>
                <w:rFonts w:ascii="Times New Roman" w:hAnsi="Times New Roman" w:cs="仿宋_GB2312"/>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1"/>
          <w:szCs w:val="21"/>
        </w:rPr>
      </w:pPr>
    </w:p>
    <w:p>
      <w:pPr>
        <w:adjustRightInd w:val="0"/>
        <w:snapToGrid w:val="0"/>
        <w:spacing w:line="240" w:lineRule="exact"/>
        <w:ind w:left="160" w:leftChars="50" w:right="160" w:rightChars="50" w:firstLine="0" w:firstLineChars="0"/>
        <w:rPr>
          <w:rFonts w:ascii="Times New Roman" w:hAnsi="Times New Roman" w:cs="仿宋_GB2312"/>
          <w:sz w:val="21"/>
          <w:szCs w:val="21"/>
        </w:rPr>
      </w:pPr>
    </w:p>
    <w:tbl>
      <w:tblPr>
        <w:tblStyle w:val="11"/>
        <w:tblW w:w="0" w:type="auto"/>
        <w:jc w:val="center"/>
        <w:tblLayout w:type="autofit"/>
        <w:tblCellMar>
          <w:top w:w="15" w:type="dxa"/>
          <w:left w:w="15" w:type="dxa"/>
          <w:bottom w:w="15" w:type="dxa"/>
          <w:right w:w="15" w:type="dxa"/>
        </w:tblCellMar>
      </w:tblPr>
      <w:tblGrid>
        <w:gridCol w:w="90"/>
        <w:gridCol w:w="952"/>
        <w:gridCol w:w="471"/>
        <w:gridCol w:w="5982"/>
        <w:gridCol w:w="184"/>
        <w:gridCol w:w="1195"/>
      </w:tblGrid>
      <w:tr>
        <w:tblPrEx>
          <w:tblCellMar>
            <w:top w:w="15" w:type="dxa"/>
            <w:left w:w="15" w:type="dxa"/>
            <w:bottom w:w="15" w:type="dxa"/>
            <w:right w:w="15" w:type="dxa"/>
          </w:tblCellMar>
        </w:tblPrEx>
        <w:trPr>
          <w:trHeight w:val="450" w:hRule="atLeast"/>
          <w:jc w:val="center"/>
        </w:trPr>
        <w:tc>
          <w:tcPr>
            <w:tcW w:w="0" w:type="auto"/>
            <w:gridSpan w:val="6"/>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郑州市大气污染防治类</w:t>
            </w:r>
          </w:p>
        </w:tc>
      </w:tr>
      <w:tr>
        <w:tblPrEx>
          <w:tblCellMar>
            <w:top w:w="15" w:type="dxa"/>
            <w:left w:w="15" w:type="dxa"/>
            <w:bottom w:w="15" w:type="dxa"/>
            <w:right w:w="15" w:type="dxa"/>
          </w:tblCellMar>
        </w:tblPrEx>
        <w:trPr>
          <w:trHeight w:val="380" w:hRule="atLeast"/>
          <w:jc w:val="center"/>
        </w:trPr>
        <w:tc>
          <w:tcPr>
            <w:tcW w:w="1042"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832"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9</w:t>
            </w:r>
          </w:p>
        </w:tc>
      </w:tr>
      <w:tr>
        <w:tblPrEx>
          <w:tblCellMar>
            <w:top w:w="15" w:type="dxa"/>
            <w:left w:w="15" w:type="dxa"/>
            <w:bottom w:w="15" w:type="dxa"/>
            <w:right w:w="15" w:type="dxa"/>
          </w:tblCellMar>
        </w:tblPrEx>
        <w:trPr>
          <w:trHeight w:val="515" w:hRule="atLeast"/>
          <w:jc w:val="center"/>
        </w:trPr>
        <w:tc>
          <w:tcPr>
            <w:tcW w:w="1042"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tc>
        <w:tc>
          <w:tcPr>
            <w:tcW w:w="7832" w:type="dxa"/>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仿宋_GB2312" w:cs="仿宋_GB2312"/>
                <w:sz w:val="21"/>
                <w:szCs w:val="21"/>
              </w:rPr>
              <w:t>露天焚烧沥青、油毡、废油、橡胶、塑料、皮革、垃圾等产生有毒有害气体的</w:t>
            </w:r>
          </w:p>
        </w:tc>
      </w:tr>
      <w:tr>
        <w:tblPrEx>
          <w:tblCellMar>
            <w:top w:w="15" w:type="dxa"/>
            <w:left w:w="15" w:type="dxa"/>
            <w:bottom w:w="15" w:type="dxa"/>
            <w:right w:w="15" w:type="dxa"/>
          </w:tblCellMar>
        </w:tblPrEx>
        <w:trPr>
          <w:trHeight w:val="90" w:hRule="atLeast"/>
          <w:jc w:val="center"/>
        </w:trPr>
        <w:tc>
          <w:tcPr>
            <w:tcW w:w="1042" w:type="dxa"/>
            <w:gridSpan w:val="2"/>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违反条款</w:t>
            </w:r>
          </w:p>
        </w:tc>
        <w:tc>
          <w:tcPr>
            <w:tcW w:w="7832" w:type="dxa"/>
            <w:gridSpan w:val="4"/>
            <w:tcBorders>
              <w:top w:val="single" w:color="000000" w:sz="4" w:space="0"/>
              <w:left w:val="single" w:color="000000" w:sz="4" w:space="0"/>
              <w:bottom w:val="single" w:color="auto" w:sz="4" w:space="0"/>
              <w:right w:val="single" w:color="auto"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《郑州市大气污染防治条例》第五十二条第一款</w:t>
            </w:r>
            <w:r>
              <w:rPr>
                <w:rFonts w:ascii="Times New Roman" w:hAnsi="Times New Roman" w:cs="仿宋_GB2312"/>
                <w:sz w:val="21"/>
                <w:szCs w:val="21"/>
              </w:rPr>
              <w:t xml:space="preserve">  </w:t>
            </w:r>
            <w:r>
              <w:rPr>
                <w:rFonts w:hint="eastAsia" w:ascii="Times New Roman" w:hAnsi="Times New Roman" w:cs="仿宋_GB2312"/>
                <w:sz w:val="21"/>
                <w:szCs w:val="21"/>
              </w:rPr>
              <w:t>禁止露天焚烧沥青、油毡、废油、橡胶、塑料、皮革、垃圾等产生有毒有害气体的物料，确需焚烧处理的，应当采用专用焚烧装置；禁止在人口集中地区未密闭或者未使用烟气处理装置加热沥青。</w:t>
            </w:r>
          </w:p>
        </w:tc>
      </w:tr>
      <w:tr>
        <w:tblPrEx>
          <w:tblCellMar>
            <w:top w:w="15" w:type="dxa"/>
            <w:left w:w="15" w:type="dxa"/>
            <w:bottom w:w="15" w:type="dxa"/>
            <w:right w:w="15" w:type="dxa"/>
          </w:tblCellMar>
        </w:tblPrEx>
        <w:trPr>
          <w:trHeight w:val="1558" w:hRule="atLeast"/>
          <w:jc w:val="center"/>
        </w:trPr>
        <w:tc>
          <w:tcPr>
            <w:tcW w:w="104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处罚依据</w:t>
            </w:r>
          </w:p>
        </w:tc>
        <w:tc>
          <w:tcPr>
            <w:tcW w:w="7832"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《郑州市大气污染防治条例》第五十八条</w:t>
            </w:r>
            <w:r>
              <w:rPr>
                <w:rFonts w:ascii="Times New Roman" w:hAnsi="Times New Roman" w:cs="仿宋_GB2312"/>
                <w:sz w:val="21"/>
                <w:szCs w:val="21"/>
              </w:rPr>
              <w:t xml:space="preserve">  </w:t>
            </w:r>
            <w:r>
              <w:rPr>
                <w:rFonts w:hint="eastAsia" w:ascii="Times New Roman" w:hAnsi="Times New Roman" w:cs="仿宋_GB2312"/>
                <w:sz w:val="21"/>
                <w:szCs w:val="21"/>
              </w:rPr>
              <w:t>违反本条例规定，有下列行为之一的，按照下列规定处罚：</w:t>
            </w:r>
          </w:p>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　　（五）违反本条例第五十二条第一款规定的，由生态环境主管部门责令停止违法行为，对单位处一万元以上十万元以下罚款，对个人处五百元以上二千元以下罚款；</w:t>
            </w:r>
          </w:p>
        </w:tc>
      </w:tr>
      <w:tr>
        <w:tblPrEx>
          <w:tblCellMar>
            <w:top w:w="15" w:type="dxa"/>
            <w:left w:w="15" w:type="dxa"/>
            <w:bottom w:w="15" w:type="dxa"/>
            <w:right w:w="15" w:type="dxa"/>
          </w:tblCellMar>
        </w:tblPrEx>
        <w:trPr>
          <w:trHeight w:val="553" w:hRule="atLeast"/>
          <w:jc w:val="center"/>
        </w:trPr>
        <w:tc>
          <w:tcPr>
            <w:tcW w:w="104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裁量因素</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判定标准</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裁量等级</w:t>
            </w:r>
          </w:p>
        </w:tc>
      </w:tr>
      <w:tr>
        <w:tblPrEx>
          <w:tblCellMar>
            <w:top w:w="15" w:type="dxa"/>
            <w:left w:w="15" w:type="dxa"/>
            <w:bottom w:w="15" w:type="dxa"/>
            <w:right w:w="15" w:type="dxa"/>
          </w:tblCellMar>
        </w:tblPrEx>
        <w:trPr>
          <w:trHeight w:val="476" w:hRule="atLeast"/>
          <w:jc w:val="center"/>
        </w:trPr>
        <w:tc>
          <w:tcPr>
            <w:tcW w:w="104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★违法事实</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在一般区域露天焚烧沥青、油毡、废油、橡胶、塑料、皮革、垃圾等产生有毒有害气体的物料</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CellMar>
            <w:top w:w="15" w:type="dxa"/>
            <w:left w:w="15" w:type="dxa"/>
            <w:bottom w:w="15" w:type="dxa"/>
            <w:right w:w="15" w:type="dxa"/>
          </w:tblCellMar>
        </w:tblPrEx>
        <w:trPr>
          <w:trHeight w:val="90"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在人口集中地区及需要特殊保护的区域露天焚烧沥青、油毡、废油、橡胶、塑料、皮革、垃圾等产生有毒有害气体的物料</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CellMar>
            <w:top w:w="15" w:type="dxa"/>
            <w:left w:w="15" w:type="dxa"/>
            <w:bottom w:w="15" w:type="dxa"/>
            <w:right w:w="15" w:type="dxa"/>
          </w:tblCellMar>
        </w:tblPrEx>
        <w:trPr>
          <w:trHeight w:val="375"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在人口集中地区未密闭或者未使用烟气处理装置加热沥青</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CellMar>
            <w:top w:w="15" w:type="dxa"/>
            <w:left w:w="15" w:type="dxa"/>
            <w:bottom w:w="15" w:type="dxa"/>
            <w:right w:w="15" w:type="dxa"/>
          </w:tblCellMar>
        </w:tblPrEx>
        <w:trPr>
          <w:trHeight w:val="436" w:hRule="atLeast"/>
          <w:jc w:val="center"/>
        </w:trPr>
        <w:tc>
          <w:tcPr>
            <w:tcW w:w="104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违法行为发生时期环境敏感度</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一般期间</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CellMar>
            <w:top w:w="15" w:type="dxa"/>
            <w:left w:w="15" w:type="dxa"/>
            <w:bottom w:w="15" w:type="dxa"/>
            <w:right w:w="15" w:type="dxa"/>
          </w:tblCellMar>
        </w:tblPrEx>
        <w:trPr>
          <w:trHeight w:val="416"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特殊或重大活动期间</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2</w:t>
            </w:r>
          </w:p>
        </w:tc>
      </w:tr>
      <w:tr>
        <w:tblPrEx>
          <w:tblCellMar>
            <w:top w:w="15" w:type="dxa"/>
            <w:left w:w="15" w:type="dxa"/>
            <w:bottom w:w="15" w:type="dxa"/>
            <w:right w:w="15" w:type="dxa"/>
          </w:tblCellMar>
        </w:tblPrEx>
        <w:trPr>
          <w:trHeight w:val="416"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重污染天气黄色预警期间</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CellMar>
            <w:top w:w="15" w:type="dxa"/>
            <w:left w:w="15" w:type="dxa"/>
            <w:bottom w:w="15" w:type="dxa"/>
            <w:right w:w="15" w:type="dxa"/>
          </w:tblCellMar>
        </w:tblPrEx>
        <w:trPr>
          <w:trHeight w:val="416"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重污染天气橙色色预警期间</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4</w:t>
            </w:r>
          </w:p>
        </w:tc>
      </w:tr>
      <w:tr>
        <w:tblPrEx>
          <w:tblCellMar>
            <w:top w:w="15" w:type="dxa"/>
            <w:left w:w="15" w:type="dxa"/>
            <w:bottom w:w="15" w:type="dxa"/>
            <w:right w:w="15" w:type="dxa"/>
          </w:tblCellMar>
        </w:tblPrEx>
        <w:trPr>
          <w:trHeight w:val="552"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重污染天气红色预警期间</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CellMar>
            <w:top w:w="15" w:type="dxa"/>
            <w:left w:w="15" w:type="dxa"/>
            <w:bottom w:w="15" w:type="dxa"/>
            <w:right w:w="15" w:type="dxa"/>
          </w:tblCellMar>
        </w:tblPrEx>
        <w:trPr>
          <w:trHeight w:val="388" w:hRule="atLeast"/>
          <w:jc w:val="center"/>
        </w:trPr>
        <w:tc>
          <w:tcPr>
            <w:tcW w:w="104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rPr>
                <w:rFonts w:ascii="Times New Roman" w:hAnsi="Times New Roman" w:cs="仿宋_GB2312"/>
                <w:b/>
                <w:bCs/>
                <w:sz w:val="21"/>
                <w:szCs w:val="21"/>
              </w:rPr>
            </w:pPr>
            <w:r>
              <w:rPr>
                <w:rFonts w:hint="eastAsia" w:ascii="Times New Roman" w:hAnsi="Times New Roman" w:cs="仿宋_GB2312"/>
                <w:b/>
                <w:bCs/>
                <w:sz w:val="21"/>
                <w:szCs w:val="21"/>
              </w:rPr>
              <w:t>企业规模</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个人</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CellMar>
            <w:top w:w="15" w:type="dxa"/>
            <w:left w:w="15" w:type="dxa"/>
            <w:bottom w:w="15" w:type="dxa"/>
            <w:right w:w="15" w:type="dxa"/>
          </w:tblCellMar>
        </w:tblPrEx>
        <w:trPr>
          <w:trHeight w:val="382"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微型企业</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2</w:t>
            </w:r>
          </w:p>
        </w:tc>
      </w:tr>
      <w:tr>
        <w:tblPrEx>
          <w:tblCellMar>
            <w:top w:w="15" w:type="dxa"/>
            <w:left w:w="15" w:type="dxa"/>
            <w:bottom w:w="15" w:type="dxa"/>
            <w:right w:w="15" w:type="dxa"/>
          </w:tblCellMar>
        </w:tblPrEx>
        <w:trPr>
          <w:trHeight w:val="399"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小型企业</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CellMar>
            <w:top w:w="15" w:type="dxa"/>
            <w:left w:w="15" w:type="dxa"/>
            <w:bottom w:w="15" w:type="dxa"/>
            <w:right w:w="15" w:type="dxa"/>
          </w:tblCellMar>
        </w:tblPrEx>
        <w:trPr>
          <w:trHeight w:val="432"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 xml:space="preserve">中型企业 </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4</w:t>
            </w:r>
          </w:p>
        </w:tc>
      </w:tr>
      <w:tr>
        <w:tblPrEx>
          <w:tblCellMar>
            <w:top w:w="15" w:type="dxa"/>
            <w:left w:w="15" w:type="dxa"/>
            <w:bottom w:w="15" w:type="dxa"/>
            <w:right w:w="15" w:type="dxa"/>
          </w:tblCellMar>
        </w:tblPrEx>
        <w:trPr>
          <w:trHeight w:val="366"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大型企业</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CellMar>
            <w:top w:w="15" w:type="dxa"/>
            <w:left w:w="15" w:type="dxa"/>
            <w:bottom w:w="15" w:type="dxa"/>
            <w:right w:w="15" w:type="dxa"/>
          </w:tblCellMar>
        </w:tblPrEx>
        <w:trPr>
          <w:trHeight w:val="370" w:hRule="atLeast"/>
          <w:jc w:val="center"/>
        </w:trPr>
        <w:tc>
          <w:tcPr>
            <w:tcW w:w="104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是否配合</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执法检查</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配合调查</w:t>
            </w:r>
          </w:p>
        </w:tc>
        <w:tc>
          <w:tcPr>
            <w:tcW w:w="11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1</w:t>
            </w:r>
          </w:p>
        </w:tc>
      </w:tr>
      <w:tr>
        <w:tblPrEx>
          <w:tblCellMar>
            <w:top w:w="15" w:type="dxa"/>
            <w:left w:w="15" w:type="dxa"/>
            <w:bottom w:w="15" w:type="dxa"/>
            <w:right w:w="15" w:type="dxa"/>
          </w:tblCellMar>
        </w:tblPrEx>
        <w:trPr>
          <w:trHeight w:val="375"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不配合调查，拒绝提供证据</w:t>
            </w:r>
          </w:p>
        </w:tc>
        <w:tc>
          <w:tcPr>
            <w:tcW w:w="11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3</w:t>
            </w:r>
          </w:p>
        </w:tc>
      </w:tr>
      <w:tr>
        <w:tblPrEx>
          <w:tblCellMar>
            <w:top w:w="15" w:type="dxa"/>
            <w:left w:w="15" w:type="dxa"/>
            <w:bottom w:w="15" w:type="dxa"/>
            <w:right w:w="15" w:type="dxa"/>
          </w:tblCellMar>
        </w:tblPrEx>
        <w:trPr>
          <w:trHeight w:val="375" w:hRule="atLeast"/>
          <w:jc w:val="center"/>
        </w:trPr>
        <w:tc>
          <w:tcPr>
            <w:tcW w:w="104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hint="eastAsia" w:ascii="Times New Roman" w:hAnsi="Times New Roman" w:cs="仿宋_GB2312"/>
                <w:sz w:val="21"/>
                <w:szCs w:val="21"/>
              </w:rPr>
              <w:t>伪造变造证据、弄虚作假的</w:t>
            </w:r>
          </w:p>
        </w:tc>
        <w:tc>
          <w:tcPr>
            <w:tcW w:w="11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1"/>
                <w:szCs w:val="21"/>
              </w:rPr>
            </w:pPr>
            <w:r>
              <w:rPr>
                <w:rFonts w:ascii="Times New Roman" w:hAnsi="Times New Roman" w:cs="仿宋_GB2312"/>
                <w:sz w:val="21"/>
                <w:szCs w:val="21"/>
              </w:rPr>
              <w:t>5</w:t>
            </w:r>
          </w:p>
        </w:tc>
      </w:tr>
      <w:tr>
        <w:tblPrEx>
          <w:tblCellMar>
            <w:top w:w="15" w:type="dxa"/>
            <w:left w:w="15" w:type="dxa"/>
            <w:bottom w:w="15" w:type="dxa"/>
            <w:right w:w="15" w:type="dxa"/>
          </w:tblCellMar>
        </w:tblPrEx>
        <w:trPr>
          <w:trHeight w:val="375" w:hRule="atLeast"/>
          <w:jc w:val="center"/>
        </w:trPr>
        <w:tc>
          <w:tcPr>
            <w:tcW w:w="104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备注</w:t>
            </w:r>
          </w:p>
        </w:tc>
        <w:tc>
          <w:tcPr>
            <w:tcW w:w="663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r>
      <w:tr>
        <w:tblPrEx>
          <w:tblCellMar>
            <w:top w:w="15" w:type="dxa"/>
            <w:left w:w="15" w:type="dxa"/>
            <w:bottom w:w="15" w:type="dxa"/>
            <w:right w:w="15" w:type="dxa"/>
          </w:tblCellMar>
        </w:tblPrEx>
        <w:trPr>
          <w:gridBefore w:val="1"/>
          <w:wBefore w:w="90" w:type="dxa"/>
          <w:trHeight w:val="450" w:hRule="atLeast"/>
          <w:jc w:val="center"/>
        </w:trPr>
        <w:tc>
          <w:tcPr>
            <w:tcW w:w="8784" w:type="dxa"/>
            <w:gridSpan w:val="5"/>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郑州市大气污染防治类</w:t>
            </w:r>
          </w:p>
        </w:tc>
      </w:tr>
      <w:tr>
        <w:tblPrEx>
          <w:tblCellMar>
            <w:top w:w="15" w:type="dxa"/>
            <w:left w:w="15" w:type="dxa"/>
            <w:bottom w:w="15" w:type="dxa"/>
            <w:right w:w="15" w:type="dxa"/>
          </w:tblCellMar>
        </w:tblPrEx>
        <w:trPr>
          <w:gridBefore w:val="1"/>
          <w:wBefore w:w="90" w:type="dxa"/>
          <w:trHeight w:val="380" w:hRule="atLeast"/>
          <w:jc w:val="center"/>
        </w:trPr>
        <w:tc>
          <w:tcPr>
            <w:tcW w:w="1423"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361" w:type="dxa"/>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10</w:t>
            </w:r>
          </w:p>
        </w:tc>
      </w:tr>
      <w:tr>
        <w:tblPrEx>
          <w:tblCellMar>
            <w:top w:w="15" w:type="dxa"/>
            <w:left w:w="15" w:type="dxa"/>
            <w:bottom w:w="15" w:type="dxa"/>
            <w:right w:w="15" w:type="dxa"/>
          </w:tblCellMar>
        </w:tblPrEx>
        <w:trPr>
          <w:gridBefore w:val="1"/>
          <w:wBefore w:w="90" w:type="dxa"/>
          <w:trHeight w:val="515" w:hRule="atLeast"/>
          <w:jc w:val="center"/>
        </w:trPr>
        <w:tc>
          <w:tcPr>
            <w:tcW w:w="1423" w:type="dxa"/>
            <w:gridSpan w:val="2"/>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违法行为</w:t>
            </w:r>
          </w:p>
        </w:tc>
        <w:tc>
          <w:tcPr>
            <w:tcW w:w="7361" w:type="dxa"/>
            <w:gridSpan w:val="3"/>
            <w:tcBorders>
              <w:top w:val="single" w:color="000000" w:sz="4" w:space="0"/>
              <w:left w:val="single" w:color="000000" w:sz="4" w:space="0"/>
              <w:bottom w:val="single" w:color="000000" w:sz="4" w:space="0"/>
              <w:right w:val="single" w:color="auto" w:sz="4" w:space="0"/>
            </w:tcBorders>
            <w:vAlign w:val="center"/>
          </w:tcPr>
          <w:p>
            <w:pPr>
              <w:overflowPunct w:val="0"/>
              <w:adjustRightInd w:val="0"/>
              <w:snapToGrid w:val="0"/>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机动车排放检验机构未公开检验流程、排放限值、收费标准和监督投诉电话的。</w:t>
            </w:r>
          </w:p>
        </w:tc>
      </w:tr>
      <w:tr>
        <w:tblPrEx>
          <w:tblCellMar>
            <w:top w:w="15" w:type="dxa"/>
            <w:left w:w="15" w:type="dxa"/>
            <w:bottom w:w="15" w:type="dxa"/>
            <w:right w:w="15" w:type="dxa"/>
          </w:tblCellMar>
        </w:tblPrEx>
        <w:trPr>
          <w:gridBefore w:val="1"/>
          <w:wBefore w:w="90" w:type="dxa"/>
          <w:trHeight w:val="90" w:hRule="atLeast"/>
          <w:jc w:val="center"/>
        </w:trPr>
        <w:tc>
          <w:tcPr>
            <w:tcW w:w="1423" w:type="dxa"/>
            <w:gridSpan w:val="2"/>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违反条款</w:t>
            </w:r>
          </w:p>
        </w:tc>
        <w:tc>
          <w:tcPr>
            <w:tcW w:w="7361" w:type="dxa"/>
            <w:gridSpan w:val="3"/>
            <w:tcBorders>
              <w:top w:val="single" w:color="000000" w:sz="4" w:space="0"/>
              <w:left w:val="single" w:color="000000" w:sz="4" w:space="0"/>
              <w:bottom w:val="single" w:color="auto" w:sz="4" w:space="0"/>
              <w:right w:val="single" w:color="auto" w:sz="4" w:space="0"/>
            </w:tcBorders>
            <w:vAlign w:val="center"/>
          </w:tcPr>
          <w:p>
            <w:pPr>
              <w:spacing w:line="240" w:lineRule="exact"/>
              <w:rPr>
                <w:rFonts w:ascii="仿宋" w:hAnsi="仿宋" w:eastAsia="仿宋"/>
                <w:color w:val="000000"/>
                <w:sz w:val="21"/>
                <w:szCs w:val="21"/>
              </w:rPr>
            </w:pPr>
            <w:r>
              <w:rPr>
                <w:rFonts w:hint="eastAsia" w:ascii="仿宋" w:hAnsi="仿宋" w:eastAsia="仿宋" w:cs="仿宋_GB2312"/>
                <w:sz w:val="21"/>
                <w:szCs w:val="21"/>
              </w:rPr>
              <w:t>《郑州市机动车和非道路移动机械排放污染防治办法》</w:t>
            </w:r>
            <w:r>
              <w:rPr>
                <w:rFonts w:hint="eastAsia" w:ascii="仿宋" w:hAnsi="仿宋" w:eastAsia="仿宋"/>
                <w:color w:val="000000"/>
                <w:sz w:val="21"/>
                <w:szCs w:val="21"/>
              </w:rPr>
              <w:t>第十六条 ：机动车排放检验机构应当依法取得资质，接受生态环境、市场监督管理、公安机关交通管理等部门的监督管理，并遵守下列规定：（五）公开检验流程、排放限值、收费标准和监督投诉电话。</w:t>
            </w:r>
          </w:p>
        </w:tc>
      </w:tr>
      <w:tr>
        <w:tblPrEx>
          <w:tblCellMar>
            <w:top w:w="15" w:type="dxa"/>
            <w:left w:w="15" w:type="dxa"/>
            <w:bottom w:w="15" w:type="dxa"/>
            <w:right w:w="15" w:type="dxa"/>
          </w:tblCellMar>
        </w:tblPrEx>
        <w:trPr>
          <w:gridBefore w:val="1"/>
          <w:wBefore w:w="90" w:type="dxa"/>
          <w:trHeight w:val="1558" w:hRule="atLeast"/>
          <w:jc w:val="center"/>
        </w:trPr>
        <w:tc>
          <w:tcPr>
            <w:tcW w:w="142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处罚依据</w:t>
            </w:r>
          </w:p>
        </w:tc>
        <w:tc>
          <w:tcPr>
            <w:tcW w:w="7361"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olor w:val="000000"/>
                <w:sz w:val="21"/>
                <w:szCs w:val="21"/>
              </w:rPr>
            </w:pPr>
            <w:r>
              <w:rPr>
                <w:rFonts w:hint="eastAsia" w:ascii="仿宋" w:hAnsi="仿宋" w:eastAsia="仿宋" w:cs="仿宋_GB2312"/>
                <w:sz w:val="21"/>
                <w:szCs w:val="21"/>
              </w:rPr>
              <w:t>《郑州市机动车和非道路移动机械排放污染防治办法》</w:t>
            </w:r>
            <w:r>
              <w:rPr>
                <w:rFonts w:hint="eastAsia" w:ascii="仿宋" w:hAnsi="仿宋" w:eastAsia="仿宋"/>
                <w:color w:val="000000"/>
                <w:sz w:val="21"/>
                <w:szCs w:val="21"/>
              </w:rPr>
              <w:t>第二十九条：机动车排放检验机构有下列行为的，由生态环境主管部门责令改正，并给予处罚：（二）未公开检验流程、排放限值、收费标准和监督投诉电话的，处1000元以上5000元以下的罚款。</w:t>
            </w:r>
          </w:p>
        </w:tc>
      </w:tr>
      <w:tr>
        <w:tblPrEx>
          <w:tblCellMar>
            <w:top w:w="15" w:type="dxa"/>
            <w:left w:w="15" w:type="dxa"/>
            <w:bottom w:w="15" w:type="dxa"/>
            <w:right w:w="15" w:type="dxa"/>
          </w:tblCellMar>
        </w:tblPrEx>
        <w:trPr>
          <w:gridBefore w:val="1"/>
          <w:wBefore w:w="90" w:type="dxa"/>
          <w:trHeight w:val="783" w:hRule="atLeast"/>
          <w:jc w:val="center"/>
        </w:trPr>
        <w:tc>
          <w:tcPr>
            <w:tcW w:w="142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裁量因素</w:t>
            </w: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判定标准</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裁量等级</w:t>
            </w:r>
          </w:p>
        </w:tc>
      </w:tr>
      <w:tr>
        <w:tblPrEx>
          <w:tblCellMar>
            <w:top w:w="15" w:type="dxa"/>
            <w:left w:w="15" w:type="dxa"/>
            <w:bottom w:w="15" w:type="dxa"/>
            <w:right w:w="15" w:type="dxa"/>
          </w:tblCellMar>
        </w:tblPrEx>
        <w:trPr>
          <w:gridBefore w:val="1"/>
          <w:wBefore w:w="90" w:type="dxa"/>
          <w:trHeight w:val="540" w:hRule="atLeast"/>
          <w:jc w:val="center"/>
        </w:trPr>
        <w:tc>
          <w:tcPr>
            <w:tcW w:w="14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★违法事实</w:t>
            </w: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center"/>
              <w:textAlignment w:val="center"/>
              <w:rPr>
                <w:rFonts w:ascii="仿宋" w:hAnsi="仿宋" w:eastAsia="仿宋" w:cs="仿宋_GB2312"/>
                <w:sz w:val="21"/>
                <w:szCs w:val="21"/>
              </w:rPr>
            </w:pPr>
            <w:r>
              <w:rPr>
                <w:rFonts w:hint="eastAsia" w:ascii="仿宋" w:hAnsi="仿宋" w:eastAsia="仿宋" w:cs="仿宋_GB2312"/>
                <w:sz w:val="21"/>
                <w:szCs w:val="21"/>
              </w:rPr>
              <w:t>有1项没有公开的</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gridBefore w:val="1"/>
          <w:wBefore w:w="90" w:type="dxa"/>
          <w:trHeight w:val="90"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center"/>
              <w:textAlignment w:val="center"/>
              <w:rPr>
                <w:rFonts w:ascii="仿宋" w:hAnsi="仿宋" w:eastAsia="仿宋" w:cs="仿宋_GB2312"/>
                <w:sz w:val="21"/>
                <w:szCs w:val="21"/>
              </w:rPr>
            </w:pPr>
            <w:r>
              <w:rPr>
                <w:rFonts w:hint="eastAsia" w:ascii="仿宋" w:hAnsi="仿宋" w:eastAsia="仿宋" w:cs="仿宋_GB2312"/>
                <w:sz w:val="21"/>
                <w:szCs w:val="21"/>
              </w:rPr>
              <w:t>有2项没有公开的</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gridBefore w:val="1"/>
          <w:wBefore w:w="90" w:type="dxa"/>
          <w:trHeight w:val="375"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olor w:val="000000"/>
                <w:sz w:val="21"/>
                <w:szCs w:val="21"/>
              </w:rPr>
              <w:t>有3项以上没公开的</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gridBefore w:val="1"/>
          <w:wBefore w:w="90" w:type="dxa"/>
          <w:trHeight w:val="409" w:hRule="atLeast"/>
          <w:jc w:val="center"/>
        </w:trPr>
        <w:tc>
          <w:tcPr>
            <w:tcW w:w="14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违法次数</w:t>
            </w: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两年内未受到过同类处罚</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gridBefore w:val="1"/>
          <w:wBefore w:w="90" w:type="dxa"/>
          <w:trHeight w:val="423"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两年内受到同类处罚1次</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gridBefore w:val="1"/>
          <w:wBefore w:w="90" w:type="dxa"/>
          <w:trHeight w:val="539"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两年内受到同类处罚2次及以上</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gridBefore w:val="1"/>
          <w:wBefore w:w="90" w:type="dxa"/>
          <w:trHeight w:val="370" w:hRule="atLeast"/>
          <w:jc w:val="center"/>
        </w:trPr>
        <w:tc>
          <w:tcPr>
            <w:tcW w:w="14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是否配合</w:t>
            </w:r>
          </w:p>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执法检查</w:t>
            </w: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配合调查</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gridBefore w:val="1"/>
          <w:wBefore w:w="90" w:type="dxa"/>
          <w:trHeight w:val="375"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不配合调查，拒绝提供证据</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gridBefore w:val="1"/>
          <w:wBefore w:w="90" w:type="dxa"/>
          <w:trHeight w:val="375" w:hRule="atLeast"/>
          <w:jc w:val="center"/>
        </w:trPr>
        <w:tc>
          <w:tcPr>
            <w:tcW w:w="142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伪造变造证据、弄虚作假的</w:t>
            </w: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gridBefore w:val="1"/>
          <w:wBefore w:w="90" w:type="dxa"/>
          <w:trHeight w:val="375" w:hRule="atLeast"/>
          <w:jc w:val="center"/>
        </w:trPr>
        <w:tc>
          <w:tcPr>
            <w:tcW w:w="142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备注</w:t>
            </w:r>
          </w:p>
        </w:tc>
        <w:tc>
          <w:tcPr>
            <w:tcW w:w="598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c>
          <w:tcPr>
            <w:tcW w:w="13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r>
    </w:tbl>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tbl>
      <w:tblPr>
        <w:tblStyle w:val="11"/>
        <w:tblW w:w="8874" w:type="dxa"/>
        <w:jc w:val="center"/>
        <w:tblLayout w:type="fixed"/>
        <w:tblCellMar>
          <w:top w:w="15" w:type="dxa"/>
          <w:left w:w="15" w:type="dxa"/>
          <w:bottom w:w="15" w:type="dxa"/>
          <w:right w:w="15" w:type="dxa"/>
        </w:tblCellMar>
      </w:tblPr>
      <w:tblGrid>
        <w:gridCol w:w="1438"/>
        <w:gridCol w:w="6024"/>
        <w:gridCol w:w="1412"/>
      </w:tblGrid>
      <w:tr>
        <w:tblPrEx>
          <w:tblCellMar>
            <w:top w:w="15" w:type="dxa"/>
            <w:left w:w="15" w:type="dxa"/>
            <w:bottom w:w="15" w:type="dxa"/>
            <w:right w:w="15" w:type="dxa"/>
          </w:tblCellMar>
        </w:tblPrEx>
        <w:trPr>
          <w:trHeight w:val="450" w:hRule="atLeast"/>
          <w:jc w:val="center"/>
        </w:trPr>
        <w:tc>
          <w:tcPr>
            <w:tcW w:w="8874" w:type="dxa"/>
            <w:gridSpan w:val="3"/>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郑州市大气污染防治类</w:t>
            </w:r>
          </w:p>
        </w:tc>
      </w:tr>
      <w:tr>
        <w:tblPrEx>
          <w:tblCellMar>
            <w:top w:w="15" w:type="dxa"/>
            <w:left w:w="15" w:type="dxa"/>
            <w:bottom w:w="15" w:type="dxa"/>
            <w:right w:w="15" w:type="dxa"/>
          </w:tblCellMar>
        </w:tblPrEx>
        <w:trPr>
          <w:trHeight w:val="380" w:hRule="atLeast"/>
          <w:jc w:val="center"/>
        </w:trPr>
        <w:tc>
          <w:tcPr>
            <w:tcW w:w="143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436"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11</w:t>
            </w:r>
          </w:p>
        </w:tc>
      </w:tr>
      <w:tr>
        <w:tblPrEx>
          <w:tblCellMar>
            <w:top w:w="15" w:type="dxa"/>
            <w:left w:w="15" w:type="dxa"/>
            <w:bottom w:w="15" w:type="dxa"/>
            <w:right w:w="15" w:type="dxa"/>
          </w:tblCellMar>
        </w:tblPrEx>
        <w:trPr>
          <w:trHeight w:val="515" w:hRule="atLeast"/>
          <w:jc w:val="center"/>
        </w:trPr>
        <w:tc>
          <w:tcPr>
            <w:tcW w:w="1438"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违法行为</w:t>
            </w:r>
          </w:p>
        </w:tc>
        <w:tc>
          <w:tcPr>
            <w:tcW w:w="7436" w:type="dxa"/>
            <w:gridSpan w:val="2"/>
            <w:tcBorders>
              <w:top w:val="single" w:color="000000" w:sz="4" w:space="0"/>
              <w:left w:val="single" w:color="000000" w:sz="4" w:space="0"/>
              <w:bottom w:val="single" w:color="000000" w:sz="4" w:space="0"/>
              <w:right w:val="single" w:color="auto" w:sz="4" w:space="0"/>
            </w:tcBorders>
            <w:vAlign w:val="center"/>
          </w:tcPr>
          <w:p>
            <w:pPr>
              <w:overflowPunct w:val="0"/>
              <w:adjustRightInd w:val="0"/>
              <w:snapToGrid w:val="0"/>
              <w:spacing w:line="240" w:lineRule="exact"/>
              <w:ind w:firstLine="0" w:firstLineChars="0"/>
              <w:rPr>
                <w:rFonts w:ascii="仿宋" w:hAnsi="仿宋" w:eastAsia="仿宋"/>
                <w:color w:val="000000"/>
                <w:sz w:val="21"/>
                <w:szCs w:val="21"/>
              </w:rPr>
            </w:pPr>
            <w:r>
              <w:rPr>
                <w:rFonts w:hint="eastAsia" w:ascii="仿宋" w:hAnsi="仿宋" w:eastAsia="仿宋"/>
                <w:color w:val="000000"/>
                <w:sz w:val="21"/>
                <w:szCs w:val="21"/>
              </w:rPr>
              <w:t>机动车排放检验机构从事或者变相从事机动车排放污染维修治理的。</w:t>
            </w:r>
          </w:p>
        </w:tc>
      </w:tr>
      <w:tr>
        <w:tblPrEx>
          <w:tblCellMar>
            <w:top w:w="15" w:type="dxa"/>
            <w:left w:w="15" w:type="dxa"/>
            <w:bottom w:w="15" w:type="dxa"/>
            <w:right w:w="15" w:type="dxa"/>
          </w:tblCellMar>
        </w:tblPrEx>
        <w:trPr>
          <w:trHeight w:val="90" w:hRule="atLeast"/>
          <w:jc w:val="center"/>
        </w:trPr>
        <w:tc>
          <w:tcPr>
            <w:tcW w:w="1438"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违反条款</w:t>
            </w:r>
          </w:p>
        </w:tc>
        <w:tc>
          <w:tcPr>
            <w:tcW w:w="7436" w:type="dxa"/>
            <w:gridSpan w:val="2"/>
            <w:tcBorders>
              <w:top w:val="single" w:color="000000" w:sz="4" w:space="0"/>
              <w:left w:val="single" w:color="000000" w:sz="4" w:space="0"/>
              <w:bottom w:val="single" w:color="auto" w:sz="4" w:space="0"/>
              <w:right w:val="single" w:color="auto" w:sz="4" w:space="0"/>
            </w:tcBorders>
            <w:vAlign w:val="center"/>
          </w:tcPr>
          <w:p>
            <w:pPr>
              <w:spacing w:line="240" w:lineRule="exact"/>
              <w:rPr>
                <w:rFonts w:ascii="仿宋" w:hAnsi="仿宋" w:eastAsia="仿宋" w:cs="仿宋_GB2312"/>
                <w:sz w:val="21"/>
                <w:szCs w:val="21"/>
              </w:rPr>
            </w:pPr>
            <w:r>
              <w:rPr>
                <w:rFonts w:hint="eastAsia" w:ascii="仿宋" w:hAnsi="仿宋" w:eastAsia="仿宋" w:cs="仿宋_GB2312"/>
                <w:sz w:val="21"/>
                <w:szCs w:val="21"/>
              </w:rPr>
              <w:t>《郑州市机动车和非道路移动机械排放污染防治办法》第十六条 ：机动车排放检验机构应当依法取得资质，接受生态环境、市场监督管理、公安机关交通管理等部门的监督管理，并遵守下列规定：（五）机动车排放检验机构不得从事或者变相从事机动车排放污染维修治理。</w:t>
            </w:r>
          </w:p>
        </w:tc>
      </w:tr>
      <w:tr>
        <w:tblPrEx>
          <w:tblCellMar>
            <w:top w:w="15" w:type="dxa"/>
            <w:left w:w="15" w:type="dxa"/>
            <w:bottom w:w="15" w:type="dxa"/>
            <w:right w:w="15" w:type="dxa"/>
          </w:tblCellMar>
        </w:tblPrEx>
        <w:trPr>
          <w:trHeight w:val="1558"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b/>
                <w:bCs/>
                <w:sz w:val="21"/>
                <w:szCs w:val="21"/>
              </w:rPr>
              <w:t>处罚依据</w:t>
            </w:r>
          </w:p>
        </w:tc>
        <w:tc>
          <w:tcPr>
            <w:tcW w:w="743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_GB2312"/>
                <w:sz w:val="21"/>
                <w:szCs w:val="21"/>
              </w:rPr>
            </w:pPr>
            <w:r>
              <w:rPr>
                <w:rFonts w:hint="eastAsia" w:ascii="仿宋" w:hAnsi="仿宋" w:eastAsia="仿宋" w:cs="仿宋_GB2312"/>
                <w:sz w:val="21"/>
                <w:szCs w:val="21"/>
              </w:rPr>
              <w:t>《郑州市机动车和非道路移动机械排放污染防治办法》第二十九条：机动车排放检验机构有下列行为的，由生态环境主管部门责令改正，并给予处罚：（三）从事或者变相从事机动车排放污染维修治理的，处5万元以上10万元以下罚款。</w:t>
            </w:r>
          </w:p>
        </w:tc>
      </w:tr>
      <w:tr>
        <w:tblPrEx>
          <w:tblCellMar>
            <w:top w:w="15" w:type="dxa"/>
            <w:left w:w="15" w:type="dxa"/>
            <w:bottom w:w="15" w:type="dxa"/>
            <w:right w:w="15" w:type="dxa"/>
          </w:tblCellMar>
        </w:tblPrEx>
        <w:trPr>
          <w:trHeight w:val="90"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裁量因素</w:t>
            </w: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判定标准</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裁量等级</w:t>
            </w:r>
          </w:p>
        </w:tc>
      </w:tr>
      <w:tr>
        <w:tblPrEx>
          <w:tblCellMar>
            <w:top w:w="15" w:type="dxa"/>
            <w:left w:w="15" w:type="dxa"/>
            <w:bottom w:w="15" w:type="dxa"/>
            <w:right w:w="15" w:type="dxa"/>
          </w:tblCellMar>
        </w:tblPrEx>
        <w:trPr>
          <w:trHeight w:val="540" w:hRule="atLeast"/>
          <w:jc w:val="center"/>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★违法事实</w:t>
            </w: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center"/>
              <w:textAlignment w:val="center"/>
              <w:rPr>
                <w:rFonts w:ascii="仿宋" w:hAnsi="仿宋" w:eastAsia="仿宋" w:cs="仿宋_GB2312"/>
                <w:sz w:val="21"/>
                <w:szCs w:val="21"/>
              </w:rPr>
            </w:pPr>
            <w:r>
              <w:rPr>
                <w:rFonts w:hint="eastAsia" w:ascii="仿宋" w:hAnsi="仿宋" w:eastAsia="仿宋" w:cs="仿宋_GB2312"/>
                <w:sz w:val="21"/>
                <w:szCs w:val="21"/>
              </w:rPr>
              <w:t>从事或者变相从事机动车排放污染维修治理5辆车以下的。</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90"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jc w:val="center"/>
              <w:textAlignment w:val="center"/>
              <w:rPr>
                <w:rFonts w:ascii="仿宋" w:hAnsi="仿宋" w:eastAsia="仿宋" w:cs="仿宋_GB2312"/>
                <w:sz w:val="21"/>
                <w:szCs w:val="21"/>
              </w:rPr>
            </w:pPr>
            <w:r>
              <w:rPr>
                <w:rFonts w:hint="eastAsia" w:ascii="仿宋" w:hAnsi="仿宋" w:eastAsia="仿宋" w:cs="仿宋_GB2312"/>
                <w:sz w:val="21"/>
                <w:szCs w:val="21"/>
              </w:rPr>
              <w:t>从事或者变相从事机动车排放污染维修治理5辆车以上、10辆车以下的。</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trHeight w:val="375"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从事或者变相从事机动车排放污染维修治理10辆车以上的。</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409" w:hRule="atLeast"/>
          <w:jc w:val="center"/>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违法次数</w:t>
            </w: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两年内未受到过同类处罚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423"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两年内受到同类处罚1次</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trHeight w:val="539"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两年内受到同类处罚2次及以上</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370" w:hRule="atLeast"/>
          <w:jc w:val="center"/>
        </w:trPr>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是否配合</w:t>
            </w:r>
          </w:p>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执法检查</w:t>
            </w: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配合调查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1</w:t>
            </w:r>
          </w:p>
        </w:tc>
      </w:tr>
      <w:tr>
        <w:tblPrEx>
          <w:tblCellMar>
            <w:top w:w="15" w:type="dxa"/>
            <w:left w:w="15" w:type="dxa"/>
            <w:bottom w:w="15" w:type="dxa"/>
            <w:right w:w="15" w:type="dxa"/>
          </w:tblCellMar>
        </w:tblPrEx>
        <w:trPr>
          <w:trHeight w:val="375"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不配合调查，拒绝提供证据</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3</w:t>
            </w:r>
          </w:p>
        </w:tc>
      </w:tr>
      <w:tr>
        <w:tblPrEx>
          <w:tblCellMar>
            <w:top w:w="15" w:type="dxa"/>
            <w:left w:w="15" w:type="dxa"/>
            <w:bottom w:w="15" w:type="dxa"/>
            <w:right w:w="15" w:type="dxa"/>
          </w:tblCellMar>
        </w:tblPrEx>
        <w:trPr>
          <w:trHeight w:val="375" w:hRule="atLeast"/>
          <w:jc w:val="center"/>
        </w:trPr>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伪造变造证据、弄虚作假的</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r>
              <w:rPr>
                <w:rFonts w:hint="eastAsia" w:ascii="仿宋" w:hAnsi="仿宋" w:eastAsia="仿宋" w:cs="仿宋_GB2312"/>
                <w:sz w:val="21"/>
                <w:szCs w:val="21"/>
              </w:rPr>
              <w:t>5</w:t>
            </w:r>
          </w:p>
        </w:tc>
      </w:tr>
      <w:tr>
        <w:tblPrEx>
          <w:tblCellMar>
            <w:top w:w="15" w:type="dxa"/>
            <w:left w:w="15" w:type="dxa"/>
            <w:bottom w:w="15" w:type="dxa"/>
            <w:right w:w="15" w:type="dxa"/>
          </w:tblCellMar>
        </w:tblPrEx>
        <w:trPr>
          <w:trHeight w:val="375" w:hRule="atLeast"/>
          <w:jc w:val="center"/>
        </w:trPr>
        <w:tc>
          <w:tcPr>
            <w:tcW w:w="143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b/>
                <w:bCs/>
                <w:sz w:val="21"/>
                <w:szCs w:val="21"/>
              </w:rPr>
            </w:pPr>
            <w:r>
              <w:rPr>
                <w:rFonts w:hint="eastAsia" w:ascii="仿宋" w:hAnsi="仿宋" w:eastAsia="仿宋" w:cs="仿宋_GB2312"/>
                <w:b/>
                <w:bCs/>
                <w:sz w:val="21"/>
                <w:szCs w:val="21"/>
              </w:rPr>
              <w:t>备注</w:t>
            </w:r>
          </w:p>
        </w:tc>
        <w:tc>
          <w:tcPr>
            <w:tcW w:w="60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仿宋" w:hAnsi="仿宋" w:eastAsia="仿宋" w:cs="仿宋_GB2312"/>
                <w:sz w:val="21"/>
                <w:szCs w:val="21"/>
              </w:rPr>
            </w:pPr>
          </w:p>
        </w:tc>
      </w:tr>
    </w:tbl>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p>
      <w:pPr>
        <w:adjustRightInd w:val="0"/>
        <w:snapToGrid w:val="0"/>
        <w:spacing w:line="280" w:lineRule="exact"/>
        <w:ind w:left="160" w:leftChars="50" w:right="160" w:rightChars="50" w:firstLine="0" w:firstLineChars="0"/>
        <w:rPr>
          <w:rFonts w:ascii="Times New Roman" w:hAnsi="Times New Roman" w:cs="仿宋_GB2312"/>
          <w:sz w:val="21"/>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42"/>
        <w:gridCol w:w="682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8874" w:type="dxa"/>
            <w:gridSpan w:val="3"/>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eastAsia="黑体"/>
                <w:kern w:val="0"/>
                <w:sz w:val="21"/>
                <w:szCs w:val="21"/>
              </w:rPr>
              <w:t>郑州市大气污染防治类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832" w:type="dxa"/>
            <w:gridSpan w:val="2"/>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tc>
        <w:tc>
          <w:tcPr>
            <w:tcW w:w="7832" w:type="dxa"/>
            <w:gridSpan w:val="2"/>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仿宋_GB2312" w:cs="仿宋_GB2312"/>
                <w:sz w:val="21"/>
                <w:szCs w:val="21"/>
              </w:rPr>
              <w:t>违反重污染天气应急措施规定使用重型柴油车</w:t>
            </w:r>
            <w:r>
              <w:rPr>
                <w:rFonts w:hint="eastAsia" w:ascii="Times New Roman" w:hAnsi="Times New Roman" w:cs="仿宋_GB2312"/>
                <w:sz w:val="21"/>
                <w:szCs w:val="21"/>
              </w:rPr>
              <w:t>和非道路移动机械</w:t>
            </w:r>
            <w:r>
              <w:rPr>
                <w:rFonts w:hint="eastAsia" w:ascii="仿宋_GB2312" w:cs="仿宋_GB2312"/>
                <w:sz w:val="21"/>
                <w:szCs w:val="21"/>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违反条款</w:t>
            </w:r>
          </w:p>
        </w:tc>
        <w:tc>
          <w:tcPr>
            <w:tcW w:w="7832" w:type="dxa"/>
            <w:gridSpan w:val="2"/>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《郑州市机动车和非道路移动机械排放污染防治办法》第十二条第二款  在大气受到严重污染、发生或者可能发生危害公众健康和安全的紧急情况下，市、县（市）、上街区人民政府可以依法采取限制使用重型柴油车和非道路移动机械等应急措施。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1"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处罚依据</w:t>
            </w:r>
          </w:p>
        </w:tc>
        <w:tc>
          <w:tcPr>
            <w:tcW w:w="7832" w:type="dxa"/>
            <w:gridSpan w:val="2"/>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《郑州市机动车和非道路移动机械排放污染防治办法》第三十一条 违反本办法第十二条第二款规定，使用重型柴油车或者非道路移动机械的，由生态环境主管部门责令停止使用，处5000元以上2万元以下罚款。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裁量因素</w:t>
            </w: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判定标准</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1042" w:type="dxa"/>
            <w:vMerge w:val="restart"/>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★违法事实</w:t>
            </w:r>
          </w:p>
        </w:tc>
        <w:tc>
          <w:tcPr>
            <w:tcW w:w="6820" w:type="dxa"/>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sz w:val="21"/>
                <w:szCs w:val="21"/>
                <w:lang w:val="en-US" w:eastAsia="zh-CN"/>
              </w:rPr>
            </w:pPr>
            <w:r>
              <w:rPr>
                <w:rFonts w:hint="eastAsia" w:ascii="Times New Roman" w:hAnsi="Times New Roman" w:cs="仿宋_GB2312"/>
                <w:sz w:val="21"/>
                <w:szCs w:val="21"/>
                <w:lang w:eastAsia="zh-CN"/>
              </w:rPr>
              <w:t>违</w:t>
            </w:r>
            <w:r>
              <w:rPr>
                <w:rFonts w:hint="eastAsia" w:ascii="Times New Roman" w:hAnsi="Times New Roman" w:cs="仿宋_GB2312"/>
                <w:sz w:val="21"/>
                <w:szCs w:val="21"/>
              </w:rPr>
              <w:t>反</w:t>
            </w:r>
            <w:r>
              <w:rPr>
                <w:rFonts w:hint="eastAsia" w:ascii="仿宋_GB2312" w:cs="仿宋_GB2312"/>
                <w:sz w:val="21"/>
                <w:szCs w:val="21"/>
              </w:rPr>
              <w:t>应急措施规定</w:t>
            </w:r>
            <w:r>
              <w:rPr>
                <w:rFonts w:hint="eastAsia" w:ascii="Times New Roman" w:hAnsi="Times New Roman" w:cs="仿宋_GB2312"/>
                <w:sz w:val="21"/>
                <w:szCs w:val="21"/>
              </w:rPr>
              <w:t>使用重型柴油车</w:t>
            </w:r>
            <w:r>
              <w:rPr>
                <w:rFonts w:hint="eastAsia" w:ascii="Times New Roman" w:hAnsi="Times New Roman" w:cs="仿宋_GB2312"/>
                <w:sz w:val="21"/>
                <w:szCs w:val="21"/>
                <w:lang w:eastAsia="zh-CN"/>
              </w:rPr>
              <w:t>或者</w:t>
            </w:r>
            <w:r>
              <w:rPr>
                <w:rFonts w:hint="eastAsia" w:ascii="Times New Roman" w:hAnsi="Times New Roman" w:cs="仿宋_GB2312"/>
                <w:sz w:val="21"/>
                <w:szCs w:val="21"/>
              </w:rPr>
              <w:t>非道路移动机械</w:t>
            </w:r>
            <w:r>
              <w:rPr>
                <w:rFonts w:hint="eastAsia" w:ascii="Times New Roman" w:hAnsi="Times New Roman" w:cs="仿宋_GB2312"/>
                <w:sz w:val="21"/>
                <w:szCs w:val="21"/>
                <w:lang w:val="en-US" w:eastAsia="zh-CN"/>
              </w:rPr>
              <w:t>1台的</w:t>
            </w:r>
          </w:p>
        </w:tc>
        <w:tc>
          <w:tcPr>
            <w:tcW w:w="1012" w:type="dxa"/>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sz w:val="21"/>
                <w:szCs w:val="21"/>
                <w:lang w:eastAsia="zh-CN"/>
              </w:rPr>
            </w:pPr>
            <w:r>
              <w:rPr>
                <w:rFonts w:hint="eastAsia" w:ascii="Times New Roman" w:hAnsi="Times New Roman"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cs="仿宋_GB2312"/>
                <w:sz w:val="21"/>
                <w:szCs w:val="21"/>
                <w:lang w:eastAsia="zh-CN"/>
              </w:rPr>
              <w:t>违</w:t>
            </w:r>
            <w:r>
              <w:rPr>
                <w:rFonts w:hint="eastAsia" w:ascii="Times New Roman" w:hAnsi="Times New Roman" w:cs="仿宋_GB2312"/>
                <w:sz w:val="21"/>
                <w:szCs w:val="21"/>
              </w:rPr>
              <w:t>反</w:t>
            </w:r>
            <w:r>
              <w:rPr>
                <w:rFonts w:hint="eastAsia" w:ascii="仿宋_GB2312" w:cs="仿宋_GB2312"/>
                <w:sz w:val="21"/>
                <w:szCs w:val="21"/>
              </w:rPr>
              <w:t>应急措施规定</w:t>
            </w:r>
            <w:r>
              <w:rPr>
                <w:rFonts w:hint="eastAsia" w:ascii="Times New Roman" w:hAnsi="Times New Roman" w:cs="仿宋_GB2312"/>
                <w:sz w:val="21"/>
                <w:szCs w:val="21"/>
              </w:rPr>
              <w:t>使用重型柴油车</w:t>
            </w:r>
            <w:r>
              <w:rPr>
                <w:rFonts w:hint="eastAsia" w:ascii="Times New Roman" w:hAnsi="Times New Roman" w:cs="仿宋_GB2312"/>
                <w:sz w:val="21"/>
                <w:szCs w:val="21"/>
                <w:lang w:eastAsia="zh-CN"/>
              </w:rPr>
              <w:t>或者</w:t>
            </w:r>
            <w:r>
              <w:rPr>
                <w:rFonts w:hint="eastAsia" w:ascii="Times New Roman" w:hAnsi="Times New Roman" w:cs="仿宋_GB2312"/>
                <w:sz w:val="21"/>
                <w:szCs w:val="21"/>
              </w:rPr>
              <w:t>非道路移动机械</w:t>
            </w:r>
            <w:r>
              <w:rPr>
                <w:rFonts w:hint="eastAsia" w:ascii="Times New Roman" w:hAnsi="Times New Roman" w:cs="仿宋_GB2312"/>
                <w:sz w:val="21"/>
                <w:szCs w:val="21"/>
                <w:lang w:val="en-US" w:eastAsia="zh-CN"/>
              </w:rPr>
              <w:t>1台以上5台以下的</w:t>
            </w:r>
          </w:p>
        </w:tc>
        <w:tc>
          <w:tcPr>
            <w:tcW w:w="1012" w:type="dxa"/>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lang w:eastAsia="zh-CN"/>
              </w:rPr>
              <w:t>违</w:t>
            </w:r>
            <w:r>
              <w:rPr>
                <w:rFonts w:hint="eastAsia" w:ascii="Times New Roman" w:hAnsi="Times New Roman" w:cs="仿宋_GB2312"/>
                <w:sz w:val="21"/>
                <w:szCs w:val="21"/>
              </w:rPr>
              <w:t>反</w:t>
            </w:r>
            <w:r>
              <w:rPr>
                <w:rFonts w:hint="eastAsia" w:ascii="仿宋_GB2312" w:cs="仿宋_GB2312"/>
                <w:sz w:val="21"/>
                <w:szCs w:val="21"/>
              </w:rPr>
              <w:t>应急措施规定</w:t>
            </w:r>
            <w:r>
              <w:rPr>
                <w:rFonts w:hint="eastAsia" w:ascii="Times New Roman" w:hAnsi="Times New Roman" w:cs="仿宋_GB2312"/>
                <w:sz w:val="21"/>
                <w:szCs w:val="21"/>
              </w:rPr>
              <w:t>使用重型柴油车</w:t>
            </w:r>
            <w:r>
              <w:rPr>
                <w:rFonts w:hint="eastAsia" w:ascii="Times New Roman" w:hAnsi="Times New Roman" w:cs="仿宋_GB2312"/>
                <w:sz w:val="21"/>
                <w:szCs w:val="21"/>
                <w:lang w:eastAsia="zh-CN"/>
              </w:rPr>
              <w:t>或者</w:t>
            </w:r>
            <w:r>
              <w:rPr>
                <w:rFonts w:hint="eastAsia" w:ascii="Times New Roman" w:hAnsi="Times New Roman" w:cs="仿宋_GB2312"/>
                <w:sz w:val="21"/>
                <w:szCs w:val="21"/>
              </w:rPr>
              <w:t>非道路移动机械</w:t>
            </w:r>
            <w:r>
              <w:rPr>
                <w:rFonts w:hint="eastAsia" w:ascii="Times New Roman" w:hAnsi="Times New Roman" w:cs="仿宋_GB2312"/>
                <w:sz w:val="21"/>
                <w:szCs w:val="21"/>
                <w:lang w:val="en-US" w:eastAsia="zh-CN"/>
              </w:rPr>
              <w:t>5台以上的</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42" w:type="dxa"/>
            <w:vMerge w:val="restart"/>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企业规模</w:t>
            </w:r>
          </w:p>
        </w:tc>
        <w:tc>
          <w:tcPr>
            <w:tcW w:w="6820" w:type="dxa"/>
            <w:vAlign w:val="center"/>
          </w:tcPr>
          <w:p>
            <w:pPr>
              <w:widowControl/>
              <w:adjustRightInd w:val="0"/>
              <w:snapToGrid w:val="0"/>
              <w:spacing w:line="240" w:lineRule="exact"/>
              <w:ind w:firstLine="0" w:firstLineChars="0"/>
              <w:jc w:val="center"/>
              <w:textAlignment w:val="center"/>
              <w:rPr>
                <w:rFonts w:ascii="仿宋_GB2312" w:cs="仿宋_GB2312"/>
                <w:sz w:val="21"/>
                <w:szCs w:val="21"/>
              </w:rPr>
            </w:pPr>
            <w:r>
              <w:rPr>
                <w:rFonts w:hint="eastAsia" w:ascii="Times New Roman" w:hAnsi="Times New Roman" w:cs="仿宋_GB2312"/>
                <w:sz w:val="21"/>
                <w:szCs w:val="21"/>
              </w:rPr>
              <w:t>个人或个体工商户</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仿宋_GB2312" w:cs="仿宋_GB2312"/>
                <w:sz w:val="21"/>
                <w:szCs w:val="21"/>
              </w:rPr>
            </w:pPr>
            <w:r>
              <w:rPr>
                <w:rFonts w:hint="eastAsia" w:ascii="Times New Roman" w:hAnsi="Times New Roman" w:cs="仿宋_GB2312"/>
                <w:sz w:val="21"/>
                <w:szCs w:val="21"/>
              </w:rPr>
              <w:t>微型企业</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仿宋_GB2312" w:cs="仿宋_GB2312"/>
                <w:sz w:val="21"/>
                <w:szCs w:val="21"/>
              </w:rPr>
            </w:pPr>
            <w:r>
              <w:rPr>
                <w:rFonts w:hint="eastAsia" w:ascii="Times New Roman" w:hAnsi="Times New Roman" w:cs="仿宋_GB2312"/>
                <w:sz w:val="21"/>
                <w:szCs w:val="21"/>
              </w:rPr>
              <w:t>小型企业</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仿宋_GB2312" w:cs="仿宋_GB2312"/>
                <w:sz w:val="21"/>
                <w:szCs w:val="21"/>
              </w:rPr>
            </w:pPr>
            <w:r>
              <w:rPr>
                <w:rFonts w:hint="eastAsia" w:ascii="Times New Roman" w:hAnsi="Times New Roman" w:cs="仿宋_GB2312"/>
                <w:sz w:val="21"/>
                <w:szCs w:val="21"/>
              </w:rPr>
              <w:t>中型企业</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4"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大型企业</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1042" w:type="dxa"/>
            <w:vMerge w:val="restart"/>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发生时期</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环境敏感度</w:t>
            </w: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重污染天气黄色预警期间</w:t>
            </w:r>
          </w:p>
        </w:tc>
        <w:tc>
          <w:tcPr>
            <w:tcW w:w="1012" w:type="dxa"/>
            <w:vAlign w:val="center"/>
          </w:tcPr>
          <w:p>
            <w:pPr>
              <w:widowControl/>
              <w:adjustRightInd w:val="0"/>
              <w:snapToGrid w:val="0"/>
              <w:spacing w:line="240" w:lineRule="exact"/>
              <w:ind w:firstLine="0" w:firstLineChars="0"/>
              <w:jc w:val="center"/>
              <w:textAlignment w:val="center"/>
              <w:rPr>
                <w:rFonts w:hint="eastAsia" w:ascii="Times New Roman" w:hAnsi="Times New Roman" w:cs="仿宋_GB2312"/>
                <w:sz w:val="21"/>
                <w:szCs w:val="21"/>
              </w:rPr>
            </w:pPr>
            <w:r>
              <w:rPr>
                <w:rFonts w:hint="eastAsia" w:ascii="Times New Roman" w:hAnsi="Times New Roman" w:cs="仿宋_GB2312"/>
                <w:sz w:val="21"/>
                <w:szCs w:val="21"/>
              </w:rPr>
              <w:t>1</w:t>
            </w:r>
          </w:p>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重污染天气橙色预警期间</w:t>
            </w:r>
          </w:p>
        </w:tc>
        <w:tc>
          <w:tcPr>
            <w:tcW w:w="1012" w:type="dxa"/>
            <w:vAlign w:val="center"/>
          </w:tcPr>
          <w:p>
            <w:pPr>
              <w:widowControl/>
              <w:adjustRightInd w:val="0"/>
              <w:snapToGrid w:val="0"/>
              <w:spacing w:line="240" w:lineRule="exact"/>
              <w:ind w:firstLine="0" w:firstLineChars="0"/>
              <w:jc w:val="center"/>
              <w:textAlignment w:val="center"/>
              <w:rPr>
                <w:rFonts w:hint="eastAsia" w:ascii="Times New Roman" w:hAnsi="Times New Roman" w:eastAsia="仿宋_GB2312" w:cs="仿宋_GB2312"/>
                <w:sz w:val="21"/>
                <w:szCs w:val="21"/>
                <w:lang w:eastAsia="zh-CN"/>
              </w:rPr>
            </w:pPr>
            <w:r>
              <w:rPr>
                <w:rFonts w:hint="eastAsia" w:ascii="Times New Roman" w:hAnsi="Times New Roman" w:cs="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重污染天气红色预警期间</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jc w:val="center"/>
        </w:trPr>
        <w:tc>
          <w:tcPr>
            <w:tcW w:w="1042" w:type="dxa"/>
            <w:vMerge w:val="restart"/>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违反管控规定次数</w:t>
            </w: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一年内违反管控规定1次</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一年内违反管控规定2次</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一年内违反管控规定3次及以上</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jc w:val="center"/>
        </w:trPr>
        <w:tc>
          <w:tcPr>
            <w:tcW w:w="1042" w:type="dxa"/>
            <w:vMerge w:val="restart"/>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是否配合</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执法检查</w:t>
            </w: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配合调查</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不配合调查，拒绝提供证据</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042" w:type="dxa"/>
            <w:vMerge w:val="continue"/>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伪造变造证据、弄虚作假的</w:t>
            </w: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104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备注</w:t>
            </w:r>
          </w:p>
        </w:tc>
        <w:tc>
          <w:tcPr>
            <w:tcW w:w="6820"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c>
          <w:tcPr>
            <w:tcW w:w="1012" w:type="dxa"/>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r>
    </w:tbl>
    <w:p>
      <w:pPr>
        <w:adjustRightInd w:val="0"/>
        <w:snapToGrid w:val="0"/>
        <w:spacing w:line="240" w:lineRule="exact"/>
        <w:ind w:left="160" w:leftChars="50" w:right="160" w:rightChars="50" w:firstLine="0" w:firstLineChars="0"/>
        <w:rPr>
          <w:rFonts w:ascii="Times New Roman" w:hAnsi="Times New Roman" w:cs="仿宋_GB2312"/>
          <w:sz w:val="21"/>
          <w:szCs w:val="21"/>
        </w:rPr>
      </w:pPr>
    </w:p>
    <w:p>
      <w:pPr>
        <w:overflowPunct w:val="0"/>
        <w:adjustRightInd w:val="0"/>
        <w:snapToGrid w:val="0"/>
        <w:spacing w:line="574" w:lineRule="exact"/>
        <w:ind w:firstLine="0" w:firstLineChars="0"/>
        <w:rPr>
          <w:rFonts w:hint="eastAsia" w:ascii="Times New Roman" w:hAnsi="Times New Roman" w:eastAsia="黑体"/>
          <w:color w:val="000000"/>
          <w:sz w:val="21"/>
          <w:szCs w:val="21"/>
        </w:rPr>
      </w:pPr>
    </w:p>
    <w:p>
      <w:pPr>
        <w:overflowPunct w:val="0"/>
        <w:adjustRightInd w:val="0"/>
        <w:snapToGrid w:val="0"/>
        <w:spacing w:line="574" w:lineRule="exact"/>
        <w:ind w:firstLine="640" w:firstLineChars="200"/>
        <w:rPr>
          <w:rFonts w:ascii="Times New Roman" w:hAnsi="Times New Roman" w:eastAsia="黑体"/>
          <w:color w:val="000000"/>
          <w:szCs w:val="32"/>
        </w:rPr>
      </w:pPr>
      <w:r>
        <w:rPr>
          <w:rFonts w:hint="eastAsia" w:ascii="Times New Roman" w:hAnsi="Times New Roman" w:eastAsia="黑体"/>
          <w:color w:val="000000"/>
          <w:szCs w:val="32"/>
        </w:rPr>
        <w:t>二、噪声污染防治类</w:t>
      </w:r>
    </w:p>
    <w:p>
      <w:pPr>
        <w:overflowPunct w:val="0"/>
        <w:adjustRightInd w:val="0"/>
        <w:snapToGrid w:val="0"/>
        <w:spacing w:line="574" w:lineRule="exact"/>
        <w:ind w:firstLine="640"/>
        <w:rPr>
          <w:rFonts w:ascii="仿宋" w:hAnsi="仿宋" w:eastAsia="仿宋"/>
          <w:szCs w:val="32"/>
        </w:rPr>
      </w:pPr>
      <w:r>
        <w:rPr>
          <w:rFonts w:hint="eastAsia" w:ascii="仿宋" w:hAnsi="仿宋" w:eastAsia="仿宋"/>
          <w:szCs w:val="32"/>
        </w:rPr>
        <w:t>1、 未经生态环境行政主管部门批准,擅自拆除、闲置环境噪声污染防治设施和在线自动监控设备的</w:t>
      </w:r>
    </w:p>
    <w:p>
      <w:pPr>
        <w:spacing w:line="240" w:lineRule="exact"/>
        <w:ind w:firstLine="0" w:firstLineChars="0"/>
        <w:rPr>
          <w:rFonts w:ascii="仿宋" w:hAnsi="仿宋" w:eastAsia="仿宋"/>
          <w:color w:val="333333"/>
          <w:sz w:val="21"/>
          <w:szCs w:val="21"/>
          <w:shd w:val="clear" w:color="auto" w:fill="FFFFFF"/>
        </w:rPr>
      </w:pPr>
    </w:p>
    <w:tbl>
      <w:tblPr>
        <w:tblStyle w:val="11"/>
        <w:tblW w:w="9289" w:type="dxa"/>
        <w:jc w:val="center"/>
        <w:tblLayout w:type="fixed"/>
        <w:tblCellMar>
          <w:top w:w="15" w:type="dxa"/>
          <w:left w:w="15" w:type="dxa"/>
          <w:bottom w:w="15" w:type="dxa"/>
          <w:right w:w="15" w:type="dxa"/>
        </w:tblCellMar>
      </w:tblPr>
      <w:tblGrid>
        <w:gridCol w:w="1505"/>
        <w:gridCol w:w="6098"/>
        <w:gridCol w:w="1686"/>
      </w:tblGrid>
      <w:tr>
        <w:tblPrEx>
          <w:tblCellMar>
            <w:top w:w="15" w:type="dxa"/>
            <w:left w:w="15" w:type="dxa"/>
            <w:bottom w:w="15" w:type="dxa"/>
            <w:right w:w="15" w:type="dxa"/>
          </w:tblCellMar>
        </w:tblPrEx>
        <w:trPr>
          <w:trHeight w:val="401" w:hRule="atLeast"/>
          <w:jc w:val="center"/>
        </w:trPr>
        <w:tc>
          <w:tcPr>
            <w:tcW w:w="9289" w:type="dxa"/>
            <w:gridSpan w:val="3"/>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微软雅黑" w:cs="微软雅黑"/>
                <w:sz w:val="21"/>
                <w:szCs w:val="21"/>
              </w:rPr>
            </w:pPr>
            <w:r>
              <w:rPr>
                <w:rFonts w:hint="eastAsia" w:ascii="Times New Roman" w:hAnsi="Times New Roman" w:eastAsia="黑体"/>
                <w:kern w:val="0"/>
                <w:sz w:val="21"/>
                <w:szCs w:val="21"/>
              </w:rPr>
              <w:t>郑州市噪声污染防治类</w:t>
            </w:r>
          </w:p>
        </w:tc>
      </w:tr>
      <w:tr>
        <w:tblPrEx>
          <w:tblCellMar>
            <w:top w:w="15" w:type="dxa"/>
            <w:left w:w="15" w:type="dxa"/>
            <w:bottom w:w="15" w:type="dxa"/>
            <w:right w:w="15" w:type="dxa"/>
          </w:tblCellMar>
        </w:tblPrEx>
        <w:trPr>
          <w:trHeight w:val="380" w:hRule="atLeast"/>
          <w:jc w:val="center"/>
        </w:trPr>
        <w:tc>
          <w:tcPr>
            <w:tcW w:w="150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序号</w:t>
            </w:r>
          </w:p>
        </w:tc>
        <w:tc>
          <w:tcPr>
            <w:tcW w:w="7784"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center"/>
              <w:textAlignment w:val="center"/>
              <w:rPr>
                <w:rFonts w:ascii="Times New Roman" w:hAnsi="Times New Roman" w:eastAsia="黑体"/>
                <w:kern w:val="0"/>
                <w:sz w:val="21"/>
                <w:szCs w:val="21"/>
              </w:rPr>
            </w:pPr>
            <w:r>
              <w:rPr>
                <w:rFonts w:hint="eastAsia" w:ascii="Times New Roman" w:hAnsi="Times New Roman" w:eastAsia="黑体"/>
                <w:kern w:val="0"/>
                <w:sz w:val="21"/>
                <w:szCs w:val="21"/>
              </w:rPr>
              <w:t>13</w:t>
            </w:r>
          </w:p>
        </w:tc>
      </w:tr>
      <w:tr>
        <w:tblPrEx>
          <w:tblCellMar>
            <w:top w:w="15" w:type="dxa"/>
            <w:left w:w="15" w:type="dxa"/>
            <w:bottom w:w="15" w:type="dxa"/>
            <w:right w:w="15" w:type="dxa"/>
          </w:tblCellMar>
        </w:tblPrEx>
        <w:trPr>
          <w:trHeight w:val="515" w:hRule="atLeast"/>
          <w:jc w:val="center"/>
        </w:trPr>
        <w:tc>
          <w:tcPr>
            <w:tcW w:w="1505"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违法行为</w:t>
            </w:r>
          </w:p>
        </w:tc>
        <w:tc>
          <w:tcPr>
            <w:tcW w:w="7784" w:type="dxa"/>
            <w:gridSpan w:val="2"/>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未经生态环境行政主管部门批准,擅自拆除、闲置环境噪声污染防治设施和在线自动监控设备的</w:t>
            </w:r>
          </w:p>
        </w:tc>
      </w:tr>
      <w:tr>
        <w:tblPrEx>
          <w:tblCellMar>
            <w:top w:w="15" w:type="dxa"/>
            <w:left w:w="15" w:type="dxa"/>
            <w:bottom w:w="15" w:type="dxa"/>
            <w:right w:w="15" w:type="dxa"/>
          </w:tblCellMar>
        </w:tblPrEx>
        <w:trPr>
          <w:trHeight w:val="1227" w:hRule="atLeast"/>
          <w:jc w:val="center"/>
        </w:trPr>
        <w:tc>
          <w:tcPr>
            <w:tcW w:w="1505"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违反条款</w:t>
            </w:r>
          </w:p>
        </w:tc>
        <w:tc>
          <w:tcPr>
            <w:tcW w:w="7784" w:type="dxa"/>
            <w:gridSpan w:val="2"/>
            <w:tcBorders>
              <w:top w:val="single" w:color="000000" w:sz="4" w:space="0"/>
              <w:left w:val="single" w:color="000000" w:sz="4" w:space="0"/>
              <w:bottom w:val="single" w:color="auto" w:sz="4" w:space="0"/>
              <w:right w:val="single" w:color="auto"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《郑州市环境噪声污染防治办法》第十一条 第二款产生环境噪声污染的单位和个体工商户,必须保证环境噪声污染防治设施和在线自动监控设备的正常运转。确需拆除或闲置的,应当提前15日向生态环境行政主管部门提出申请,经批准后方可拆除或闲置。对因拆除或闲置环境噪声污染防治设施致使噪声污染加重的,生态环境行政主管部门不得批准。</w:t>
            </w:r>
          </w:p>
        </w:tc>
      </w:tr>
      <w:tr>
        <w:tblPrEx>
          <w:tblCellMar>
            <w:top w:w="15" w:type="dxa"/>
            <w:left w:w="15" w:type="dxa"/>
            <w:bottom w:w="15" w:type="dxa"/>
            <w:right w:w="15" w:type="dxa"/>
          </w:tblCellMar>
        </w:tblPrEx>
        <w:trPr>
          <w:trHeight w:val="1500"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b/>
                <w:bCs/>
                <w:sz w:val="21"/>
                <w:szCs w:val="21"/>
              </w:rPr>
              <w:t>处罚依据</w:t>
            </w:r>
          </w:p>
        </w:tc>
        <w:tc>
          <w:tcPr>
            <w:tcW w:w="778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《郑州市环境噪声污染防治办法》第三十四条 违反本办法规定,有下列行为之一的,由市、县（市、区）生态环境行政主管部门依照管理权限责令改正,并按下列规定予以处罚:</w:t>
            </w:r>
          </w:p>
          <w:p>
            <w:pPr>
              <w:widowControl/>
              <w:adjustRightInd w:val="0"/>
              <w:snapToGrid w:val="0"/>
              <w:spacing w:line="240" w:lineRule="exact"/>
              <w:ind w:firstLine="0" w:firstLineChars="0"/>
              <w:jc w:val="left"/>
              <w:textAlignment w:val="center"/>
              <w:rPr>
                <w:rFonts w:ascii="Times New Roman" w:hAnsi="Times New Roman" w:cs="仿宋_GB2312"/>
                <w:sz w:val="21"/>
                <w:szCs w:val="21"/>
              </w:rPr>
            </w:pPr>
            <w:r>
              <w:rPr>
                <w:rFonts w:hint="eastAsia" w:ascii="Times New Roman" w:hAnsi="Times New Roman" w:cs="仿宋_GB2312"/>
                <w:sz w:val="21"/>
                <w:szCs w:val="21"/>
              </w:rPr>
              <w:t>（二）违反本办法第十一条第二款规定,未经生态环境行政主管部门批准,擅自拆除、闲置环境噪声污染防治设施和在线自动监控设备的,处以10000元以上30000元以下罚款;</w:t>
            </w:r>
          </w:p>
        </w:tc>
      </w:tr>
      <w:tr>
        <w:tblPrEx>
          <w:tblCellMar>
            <w:top w:w="15" w:type="dxa"/>
            <w:left w:w="15" w:type="dxa"/>
            <w:bottom w:w="15" w:type="dxa"/>
            <w:right w:w="15" w:type="dxa"/>
          </w:tblCellMar>
        </w:tblPrEx>
        <w:trPr>
          <w:trHeight w:val="343"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裁量因素</w:t>
            </w: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判定标准</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8"/>
                <w:szCs w:val="28"/>
              </w:rPr>
            </w:pPr>
            <w:r>
              <w:rPr>
                <w:rFonts w:hint="eastAsia" w:ascii="Times New Roman" w:hAnsi="Times New Roman" w:cs="仿宋_GB2312"/>
                <w:b/>
                <w:bCs/>
                <w:sz w:val="21"/>
                <w:szCs w:val="21"/>
              </w:rPr>
              <w:t>裁量等级</w:t>
            </w:r>
          </w:p>
        </w:tc>
      </w:tr>
      <w:tr>
        <w:tblPrEx>
          <w:tblCellMar>
            <w:top w:w="15" w:type="dxa"/>
            <w:left w:w="15" w:type="dxa"/>
            <w:bottom w:w="15" w:type="dxa"/>
            <w:right w:w="15" w:type="dxa"/>
          </w:tblCellMar>
        </w:tblPrEx>
        <w:trPr>
          <w:trHeight w:val="313"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★违法事实</w:t>
            </w: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拆除或闲置部分噪声污染防治设施的</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r>
      <w:tr>
        <w:tblPrEx>
          <w:tblCellMar>
            <w:top w:w="15" w:type="dxa"/>
            <w:left w:w="15" w:type="dxa"/>
            <w:bottom w:w="15" w:type="dxa"/>
            <w:right w:w="15" w:type="dxa"/>
          </w:tblCellMar>
        </w:tblPrEx>
        <w:trPr>
          <w:trHeight w:val="90"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拆除或闲置全部噪声污染防治设施的或者关闭在线自动监控设备的</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r>
      <w:tr>
        <w:tblPrEx>
          <w:tblCellMar>
            <w:top w:w="15" w:type="dxa"/>
            <w:left w:w="15" w:type="dxa"/>
            <w:bottom w:w="15" w:type="dxa"/>
            <w:right w:w="15" w:type="dxa"/>
          </w:tblCellMar>
        </w:tblPrEx>
        <w:trPr>
          <w:trHeight w:val="375"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拆除或闲置全部噪声污染防治设施致使噪声排放超标的</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5</w:t>
            </w:r>
          </w:p>
        </w:tc>
      </w:tr>
      <w:tr>
        <w:tblPrEx>
          <w:tblCellMar>
            <w:top w:w="15" w:type="dxa"/>
            <w:left w:w="15" w:type="dxa"/>
            <w:bottom w:w="15" w:type="dxa"/>
            <w:right w:w="15" w:type="dxa"/>
          </w:tblCellMar>
        </w:tblPrEx>
        <w:trPr>
          <w:trHeight w:val="322"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排污超标状况</w:t>
            </w: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未超标</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r>
      <w:tr>
        <w:tblPrEx>
          <w:tblCellMar>
            <w:top w:w="15" w:type="dxa"/>
            <w:left w:w="15" w:type="dxa"/>
            <w:bottom w:w="15" w:type="dxa"/>
            <w:right w:w="15" w:type="dxa"/>
          </w:tblCellMar>
        </w:tblPrEx>
        <w:trPr>
          <w:trHeight w:val="303"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超标0.5倍以下</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r>
      <w:tr>
        <w:tblPrEx>
          <w:tblCellMar>
            <w:top w:w="15" w:type="dxa"/>
            <w:left w:w="15" w:type="dxa"/>
            <w:bottom w:w="15" w:type="dxa"/>
            <w:right w:w="15" w:type="dxa"/>
          </w:tblCellMar>
        </w:tblPrEx>
        <w:trPr>
          <w:trHeight w:val="416"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超标0.5倍以上1倍以下</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r>
      <w:tr>
        <w:tblPrEx>
          <w:tblCellMar>
            <w:top w:w="15" w:type="dxa"/>
            <w:left w:w="15" w:type="dxa"/>
            <w:bottom w:w="15" w:type="dxa"/>
            <w:right w:w="15" w:type="dxa"/>
          </w:tblCellMar>
        </w:tblPrEx>
        <w:trPr>
          <w:trHeight w:val="416"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超标1倍以上2倍以下</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4</w:t>
            </w:r>
          </w:p>
        </w:tc>
      </w:tr>
      <w:tr>
        <w:tblPrEx>
          <w:tblCellMar>
            <w:top w:w="15" w:type="dxa"/>
            <w:left w:w="15" w:type="dxa"/>
            <w:bottom w:w="15" w:type="dxa"/>
            <w:right w:w="15" w:type="dxa"/>
          </w:tblCellMar>
        </w:tblPrEx>
        <w:trPr>
          <w:trHeight w:val="326"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1"/>
                <w:szCs w:val="21"/>
              </w:rPr>
              <w:t>超标2倍以上</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5</w:t>
            </w:r>
          </w:p>
        </w:tc>
      </w:tr>
      <w:tr>
        <w:tblPrEx>
          <w:tblCellMar>
            <w:top w:w="15" w:type="dxa"/>
            <w:left w:w="15" w:type="dxa"/>
            <w:bottom w:w="15" w:type="dxa"/>
            <w:right w:w="15" w:type="dxa"/>
          </w:tblCellMar>
        </w:tblPrEx>
        <w:trPr>
          <w:trHeight w:val="372"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rPr>
                <w:rFonts w:ascii="Times New Roman" w:hAnsi="Times New Roman" w:cs="仿宋_GB2312"/>
                <w:b/>
                <w:bCs/>
                <w:sz w:val="24"/>
              </w:rPr>
            </w:pPr>
            <w:r>
              <w:rPr>
                <w:rFonts w:hint="eastAsia" w:ascii="Times New Roman" w:hAnsi="Times New Roman" w:cs="仿宋_GB2312"/>
                <w:b/>
                <w:bCs/>
                <w:sz w:val="24"/>
              </w:rPr>
              <w:t>违法次数</w:t>
            </w:r>
          </w:p>
        </w:tc>
        <w:tc>
          <w:tcPr>
            <w:tcW w:w="60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4"/>
              </w:rPr>
            </w:pPr>
            <w:r>
              <w:rPr>
                <w:rFonts w:hint="eastAsia" w:ascii="Times New Roman" w:hAnsi="Times New Roman" w:cs="仿宋_GB2312"/>
                <w:sz w:val="24"/>
              </w:rPr>
              <w:t>两年内未受到过同类处罚</w:t>
            </w:r>
          </w:p>
        </w:tc>
        <w:tc>
          <w:tcPr>
            <w:tcW w:w="16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r>
      <w:tr>
        <w:tblPrEx>
          <w:tblCellMar>
            <w:top w:w="15" w:type="dxa"/>
            <w:left w:w="15" w:type="dxa"/>
            <w:bottom w:w="15" w:type="dxa"/>
            <w:right w:w="15" w:type="dxa"/>
          </w:tblCellMar>
        </w:tblPrEx>
        <w:trPr>
          <w:trHeight w:val="382"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4"/>
              </w:rPr>
              <w:t>两年内受到同类处罚</w:t>
            </w:r>
            <w:r>
              <w:rPr>
                <w:rFonts w:ascii="Times New Roman" w:hAnsi="Times New Roman" w:cs="仿宋_GB2312"/>
                <w:sz w:val="24"/>
              </w:rPr>
              <w:t>1</w:t>
            </w:r>
            <w:r>
              <w:rPr>
                <w:rFonts w:hint="eastAsia" w:ascii="Times New Roman" w:hAnsi="Times New Roman" w:cs="仿宋_GB2312"/>
                <w:sz w:val="24"/>
              </w:rPr>
              <w:t>次</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3</w:t>
            </w:r>
          </w:p>
        </w:tc>
      </w:tr>
      <w:tr>
        <w:tblPrEx>
          <w:tblCellMar>
            <w:top w:w="15" w:type="dxa"/>
            <w:left w:w="15" w:type="dxa"/>
            <w:bottom w:w="15" w:type="dxa"/>
            <w:right w:w="15" w:type="dxa"/>
          </w:tblCellMar>
        </w:tblPrEx>
        <w:trPr>
          <w:trHeight w:val="348"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r>
              <w:rPr>
                <w:rFonts w:hint="eastAsia" w:ascii="Times New Roman" w:hAnsi="Times New Roman" w:cs="仿宋_GB2312"/>
                <w:sz w:val="24"/>
              </w:rPr>
              <w:t>两年内受到同类处罚</w:t>
            </w:r>
            <w:r>
              <w:rPr>
                <w:rFonts w:ascii="Times New Roman" w:hAnsi="Times New Roman" w:cs="仿宋_GB2312"/>
                <w:sz w:val="24"/>
              </w:rPr>
              <w:t>2</w:t>
            </w:r>
            <w:r>
              <w:rPr>
                <w:rFonts w:hint="eastAsia" w:ascii="Times New Roman" w:hAnsi="Times New Roman" w:cs="仿宋_GB2312"/>
                <w:sz w:val="24"/>
              </w:rPr>
              <w:t>次及以上</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hint="eastAsia" w:ascii="仿宋" w:hAnsi="仿宋" w:eastAsia="仿宋" w:cs="仿宋"/>
                <w:sz w:val="21"/>
                <w:szCs w:val="21"/>
              </w:rPr>
            </w:pPr>
            <w:r>
              <w:rPr>
                <w:rFonts w:hint="eastAsia" w:ascii="仿宋" w:hAnsi="仿宋" w:eastAsia="仿宋" w:cs="仿宋"/>
                <w:sz w:val="21"/>
                <w:szCs w:val="21"/>
              </w:rPr>
              <w:t>5</w:t>
            </w:r>
          </w:p>
        </w:tc>
      </w:tr>
      <w:tr>
        <w:tblPrEx>
          <w:tblCellMar>
            <w:top w:w="15" w:type="dxa"/>
            <w:left w:w="15" w:type="dxa"/>
            <w:bottom w:w="15" w:type="dxa"/>
            <w:right w:w="15" w:type="dxa"/>
          </w:tblCellMar>
        </w:tblPrEx>
        <w:trPr>
          <w:trHeight w:val="290" w:hRule="atLeast"/>
          <w:jc w:val="center"/>
        </w:trPr>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是否配合</w:t>
            </w:r>
          </w:p>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执法检查</w:t>
            </w:r>
          </w:p>
        </w:tc>
        <w:tc>
          <w:tcPr>
            <w:tcW w:w="60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4"/>
              </w:rPr>
            </w:pPr>
            <w:r>
              <w:rPr>
                <w:rFonts w:hint="eastAsia" w:ascii="Times New Roman" w:hAnsi="Times New Roman" w:cs="仿宋_GB2312"/>
                <w:sz w:val="24"/>
              </w:rPr>
              <w:t>配合调查</w:t>
            </w:r>
          </w:p>
        </w:tc>
        <w:tc>
          <w:tcPr>
            <w:tcW w:w="16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r>
      <w:tr>
        <w:tblPrEx>
          <w:tblCellMar>
            <w:top w:w="15" w:type="dxa"/>
            <w:left w:w="15" w:type="dxa"/>
            <w:bottom w:w="15" w:type="dxa"/>
            <w:right w:w="15" w:type="dxa"/>
          </w:tblCellMar>
        </w:tblPrEx>
        <w:trPr>
          <w:trHeight w:val="375"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4"/>
              </w:rPr>
            </w:pPr>
            <w:r>
              <w:rPr>
                <w:rFonts w:hint="eastAsia" w:ascii="Times New Roman" w:hAnsi="Times New Roman" w:cs="仿宋_GB2312"/>
                <w:sz w:val="24"/>
              </w:rPr>
              <w:t>不配合调查，拒绝提供证据</w:t>
            </w:r>
          </w:p>
        </w:tc>
        <w:tc>
          <w:tcPr>
            <w:tcW w:w="16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hint="eastAsia" w:ascii="仿宋" w:hAnsi="仿宋" w:eastAsia="仿宋" w:cs="仿宋"/>
                <w:sz w:val="21"/>
                <w:szCs w:val="21"/>
              </w:rPr>
            </w:pPr>
            <w:r>
              <w:rPr>
                <w:rFonts w:hint="eastAsia" w:ascii="仿宋" w:hAnsi="仿宋" w:eastAsia="仿宋" w:cs="仿宋"/>
                <w:sz w:val="21"/>
                <w:szCs w:val="21"/>
              </w:rPr>
              <w:t>3</w:t>
            </w:r>
          </w:p>
        </w:tc>
      </w:tr>
      <w:tr>
        <w:tblPrEx>
          <w:tblCellMar>
            <w:top w:w="15" w:type="dxa"/>
            <w:left w:w="15" w:type="dxa"/>
            <w:bottom w:w="15" w:type="dxa"/>
            <w:right w:w="15" w:type="dxa"/>
          </w:tblCellMar>
        </w:tblPrEx>
        <w:trPr>
          <w:trHeight w:val="375" w:hRule="atLeast"/>
          <w:jc w:val="center"/>
        </w:trPr>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p>
        </w:tc>
        <w:tc>
          <w:tcPr>
            <w:tcW w:w="60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ascii="Times New Roman" w:hAnsi="Times New Roman" w:cs="仿宋_GB2312"/>
                <w:sz w:val="24"/>
              </w:rPr>
            </w:pPr>
            <w:r>
              <w:rPr>
                <w:rFonts w:hint="eastAsia" w:ascii="Times New Roman" w:hAnsi="Times New Roman" w:cs="仿宋_GB2312"/>
                <w:sz w:val="24"/>
              </w:rPr>
              <w:t>伪造变造证据、弄虚作假的</w:t>
            </w:r>
          </w:p>
        </w:tc>
        <w:tc>
          <w:tcPr>
            <w:tcW w:w="16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60" w:leftChars="50" w:right="160" w:rightChars="50" w:firstLine="0" w:firstLineChars="0"/>
              <w:jc w:val="center"/>
              <w:rPr>
                <w:rFonts w:hint="eastAsia" w:ascii="仿宋" w:hAnsi="仿宋" w:eastAsia="仿宋" w:cs="仿宋"/>
                <w:sz w:val="21"/>
                <w:szCs w:val="21"/>
              </w:rPr>
            </w:pPr>
            <w:r>
              <w:rPr>
                <w:rFonts w:hint="eastAsia" w:ascii="仿宋" w:hAnsi="仿宋" w:eastAsia="仿宋" w:cs="仿宋"/>
                <w:sz w:val="21"/>
                <w:szCs w:val="21"/>
              </w:rPr>
              <w:t>5</w:t>
            </w:r>
          </w:p>
        </w:tc>
      </w:tr>
      <w:tr>
        <w:tblPrEx>
          <w:tblCellMar>
            <w:top w:w="15" w:type="dxa"/>
            <w:left w:w="15" w:type="dxa"/>
            <w:bottom w:w="15" w:type="dxa"/>
            <w:right w:w="15" w:type="dxa"/>
          </w:tblCellMar>
        </w:tblPrEx>
        <w:trPr>
          <w:trHeight w:val="375"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b/>
                <w:bCs/>
                <w:sz w:val="21"/>
                <w:szCs w:val="21"/>
              </w:rPr>
            </w:pPr>
            <w:r>
              <w:rPr>
                <w:rFonts w:hint="eastAsia" w:ascii="Times New Roman" w:hAnsi="Times New Roman" w:cs="仿宋_GB2312"/>
                <w:b/>
                <w:bCs/>
                <w:sz w:val="21"/>
                <w:szCs w:val="21"/>
              </w:rPr>
              <w:t>备注</w:t>
            </w:r>
          </w:p>
        </w:tc>
        <w:tc>
          <w:tcPr>
            <w:tcW w:w="60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1"/>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exact"/>
              <w:ind w:firstLine="0" w:firstLineChars="0"/>
              <w:jc w:val="center"/>
              <w:textAlignment w:val="center"/>
              <w:rPr>
                <w:rFonts w:ascii="Times New Roman" w:hAnsi="Times New Roman" w:cs="仿宋_GB2312"/>
                <w:sz w:val="28"/>
                <w:szCs w:val="28"/>
              </w:rPr>
            </w:pPr>
          </w:p>
        </w:tc>
      </w:tr>
    </w:tbl>
    <w:p>
      <w:pPr>
        <w:adjustRightInd w:val="0"/>
        <w:snapToGrid w:val="0"/>
        <w:spacing w:line="240" w:lineRule="exact"/>
        <w:ind w:left="0" w:leftChars="0" w:right="160" w:rightChars="50" w:firstLine="0" w:firstLineChars="0"/>
        <w:rPr>
          <w:rFonts w:ascii="Times New Roman" w:hAnsi="Times New Roman" w:cs="仿宋_GB2312"/>
          <w:sz w:val="24"/>
        </w:rPr>
      </w:pP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00" w:lineRule="exact"/>
      <w:ind w:firstLine="0" w:firstLineChars="0"/>
    </w:pPr>
    <w:r>
      <w:pict>
        <v:shape id="文本框 4"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ckk7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d7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ackk7gBAABUAwAADgAAAAAAAAABACAAAAAeAQAAZHJzL2Uyb0RvYy54bWxQSwUGAAAAAAYABgBZ&#10;AQAASAUAAAAA&#10;">
          <v:path/>
          <v:fill on="f" focussize="0,0"/>
          <v:stroke on="f" joinstyle="miter"/>
          <v:imagedata o:title=""/>
          <o:lock v:ext="edit"/>
          <v:textbox inset="0mm,0mm,0mm,0mm" style="mso-fit-shape-to-text:t;">
            <w:txbxContent>
              <w:p>
                <w:pPr>
                  <w:snapToGrid w:val="0"/>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218"/>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72F"/>
    <w:rsid w:val="0002106A"/>
    <w:rsid w:val="0002525D"/>
    <w:rsid w:val="00034376"/>
    <w:rsid w:val="00037420"/>
    <w:rsid w:val="00042DEC"/>
    <w:rsid w:val="00046F2B"/>
    <w:rsid w:val="000539CD"/>
    <w:rsid w:val="0006125E"/>
    <w:rsid w:val="000623D9"/>
    <w:rsid w:val="000701D8"/>
    <w:rsid w:val="000716B8"/>
    <w:rsid w:val="000812A8"/>
    <w:rsid w:val="000846E4"/>
    <w:rsid w:val="000A425D"/>
    <w:rsid w:val="000A4571"/>
    <w:rsid w:val="000A47A7"/>
    <w:rsid w:val="000A4A19"/>
    <w:rsid w:val="000A587D"/>
    <w:rsid w:val="000A58C6"/>
    <w:rsid w:val="000A736C"/>
    <w:rsid w:val="000B5461"/>
    <w:rsid w:val="000C3511"/>
    <w:rsid w:val="000C473D"/>
    <w:rsid w:val="000D4DD3"/>
    <w:rsid w:val="000D5430"/>
    <w:rsid w:val="000D5E87"/>
    <w:rsid w:val="000E2806"/>
    <w:rsid w:val="000E3D86"/>
    <w:rsid w:val="000E43FA"/>
    <w:rsid w:val="000F543A"/>
    <w:rsid w:val="00105722"/>
    <w:rsid w:val="00105900"/>
    <w:rsid w:val="00112589"/>
    <w:rsid w:val="00113DBE"/>
    <w:rsid w:val="001267EE"/>
    <w:rsid w:val="00142131"/>
    <w:rsid w:val="00147CC7"/>
    <w:rsid w:val="00162931"/>
    <w:rsid w:val="001632BF"/>
    <w:rsid w:val="0017226A"/>
    <w:rsid w:val="00172A27"/>
    <w:rsid w:val="00175546"/>
    <w:rsid w:val="00183D40"/>
    <w:rsid w:val="00186835"/>
    <w:rsid w:val="001906DC"/>
    <w:rsid w:val="00196E39"/>
    <w:rsid w:val="001A5325"/>
    <w:rsid w:val="001A79E3"/>
    <w:rsid w:val="001C28E9"/>
    <w:rsid w:val="001C6F97"/>
    <w:rsid w:val="001D0B25"/>
    <w:rsid w:val="001D3AD7"/>
    <w:rsid w:val="001F4B11"/>
    <w:rsid w:val="00202D0C"/>
    <w:rsid w:val="00203B83"/>
    <w:rsid w:val="002077D2"/>
    <w:rsid w:val="00217356"/>
    <w:rsid w:val="00217E04"/>
    <w:rsid w:val="002205FB"/>
    <w:rsid w:val="00223670"/>
    <w:rsid w:val="00223FEE"/>
    <w:rsid w:val="00226135"/>
    <w:rsid w:val="0022758A"/>
    <w:rsid w:val="002434DE"/>
    <w:rsid w:val="00246FFF"/>
    <w:rsid w:val="0024787D"/>
    <w:rsid w:val="00247C15"/>
    <w:rsid w:val="00256E5D"/>
    <w:rsid w:val="0026110E"/>
    <w:rsid w:val="00262A42"/>
    <w:rsid w:val="00271940"/>
    <w:rsid w:val="002735C9"/>
    <w:rsid w:val="00277C9A"/>
    <w:rsid w:val="00283C09"/>
    <w:rsid w:val="002860AF"/>
    <w:rsid w:val="00292BDA"/>
    <w:rsid w:val="002932B6"/>
    <w:rsid w:val="002975FD"/>
    <w:rsid w:val="002A1164"/>
    <w:rsid w:val="002B126A"/>
    <w:rsid w:val="002B165B"/>
    <w:rsid w:val="002B5DAE"/>
    <w:rsid w:val="002B7878"/>
    <w:rsid w:val="002C2F01"/>
    <w:rsid w:val="002C339A"/>
    <w:rsid w:val="002E276D"/>
    <w:rsid w:val="002E7A51"/>
    <w:rsid w:val="002F60D8"/>
    <w:rsid w:val="002F648E"/>
    <w:rsid w:val="0030306D"/>
    <w:rsid w:val="00316AC3"/>
    <w:rsid w:val="003202DD"/>
    <w:rsid w:val="003635FD"/>
    <w:rsid w:val="00364DC0"/>
    <w:rsid w:val="003754A2"/>
    <w:rsid w:val="0037621F"/>
    <w:rsid w:val="00377F36"/>
    <w:rsid w:val="0038035A"/>
    <w:rsid w:val="003821B1"/>
    <w:rsid w:val="00383E7F"/>
    <w:rsid w:val="0038720E"/>
    <w:rsid w:val="00387F2D"/>
    <w:rsid w:val="00392BC0"/>
    <w:rsid w:val="00393BD8"/>
    <w:rsid w:val="003A2233"/>
    <w:rsid w:val="003A7042"/>
    <w:rsid w:val="003B2EF5"/>
    <w:rsid w:val="003B5FB3"/>
    <w:rsid w:val="003C11EA"/>
    <w:rsid w:val="003C54D1"/>
    <w:rsid w:val="003C78A2"/>
    <w:rsid w:val="003D3BD6"/>
    <w:rsid w:val="003D42BE"/>
    <w:rsid w:val="003D47A9"/>
    <w:rsid w:val="003E38FD"/>
    <w:rsid w:val="003F242C"/>
    <w:rsid w:val="003F3E07"/>
    <w:rsid w:val="003F6787"/>
    <w:rsid w:val="00402697"/>
    <w:rsid w:val="00403948"/>
    <w:rsid w:val="0040779A"/>
    <w:rsid w:val="00412B47"/>
    <w:rsid w:val="00413EC7"/>
    <w:rsid w:val="00416CFF"/>
    <w:rsid w:val="00446FDC"/>
    <w:rsid w:val="00455A35"/>
    <w:rsid w:val="00457928"/>
    <w:rsid w:val="00463302"/>
    <w:rsid w:val="00467026"/>
    <w:rsid w:val="00475F36"/>
    <w:rsid w:val="00484C63"/>
    <w:rsid w:val="0049514C"/>
    <w:rsid w:val="0049703A"/>
    <w:rsid w:val="004A5349"/>
    <w:rsid w:val="004B0387"/>
    <w:rsid w:val="004B79E1"/>
    <w:rsid w:val="004C0D6B"/>
    <w:rsid w:val="004D2CEF"/>
    <w:rsid w:val="004D4D89"/>
    <w:rsid w:val="004E1AEB"/>
    <w:rsid w:val="004E551C"/>
    <w:rsid w:val="004F58B4"/>
    <w:rsid w:val="004F6A58"/>
    <w:rsid w:val="005032F0"/>
    <w:rsid w:val="00504243"/>
    <w:rsid w:val="00516FFD"/>
    <w:rsid w:val="00524612"/>
    <w:rsid w:val="00526E4E"/>
    <w:rsid w:val="0053121F"/>
    <w:rsid w:val="0053184E"/>
    <w:rsid w:val="0053199B"/>
    <w:rsid w:val="00531D64"/>
    <w:rsid w:val="00536652"/>
    <w:rsid w:val="00542988"/>
    <w:rsid w:val="00552224"/>
    <w:rsid w:val="00554D7F"/>
    <w:rsid w:val="00557A78"/>
    <w:rsid w:val="00557EE9"/>
    <w:rsid w:val="005654CE"/>
    <w:rsid w:val="00577C68"/>
    <w:rsid w:val="005832EF"/>
    <w:rsid w:val="0058474A"/>
    <w:rsid w:val="00585445"/>
    <w:rsid w:val="00585A76"/>
    <w:rsid w:val="00587359"/>
    <w:rsid w:val="00590977"/>
    <w:rsid w:val="005A1144"/>
    <w:rsid w:val="005A40A9"/>
    <w:rsid w:val="005A4CB3"/>
    <w:rsid w:val="005A4CD5"/>
    <w:rsid w:val="005A7CD7"/>
    <w:rsid w:val="005B0C51"/>
    <w:rsid w:val="005B0C88"/>
    <w:rsid w:val="005B2120"/>
    <w:rsid w:val="005B549C"/>
    <w:rsid w:val="005B7829"/>
    <w:rsid w:val="005C11D6"/>
    <w:rsid w:val="005C4647"/>
    <w:rsid w:val="005C4927"/>
    <w:rsid w:val="005C6934"/>
    <w:rsid w:val="005D19D8"/>
    <w:rsid w:val="005D2CB3"/>
    <w:rsid w:val="005E6890"/>
    <w:rsid w:val="005F7941"/>
    <w:rsid w:val="005F7D3F"/>
    <w:rsid w:val="0060311E"/>
    <w:rsid w:val="00610FB3"/>
    <w:rsid w:val="0061264B"/>
    <w:rsid w:val="0061273C"/>
    <w:rsid w:val="00621F8C"/>
    <w:rsid w:val="00634597"/>
    <w:rsid w:val="00635CC3"/>
    <w:rsid w:val="006439ED"/>
    <w:rsid w:val="00647150"/>
    <w:rsid w:val="0065164D"/>
    <w:rsid w:val="00655239"/>
    <w:rsid w:val="006634E2"/>
    <w:rsid w:val="006654CC"/>
    <w:rsid w:val="00676685"/>
    <w:rsid w:val="00677362"/>
    <w:rsid w:val="00677AFE"/>
    <w:rsid w:val="0068563E"/>
    <w:rsid w:val="006D3D33"/>
    <w:rsid w:val="006D6300"/>
    <w:rsid w:val="006D7561"/>
    <w:rsid w:val="006E085B"/>
    <w:rsid w:val="006F4715"/>
    <w:rsid w:val="00701AFC"/>
    <w:rsid w:val="00702C04"/>
    <w:rsid w:val="007230EF"/>
    <w:rsid w:val="00723180"/>
    <w:rsid w:val="00727E65"/>
    <w:rsid w:val="00730152"/>
    <w:rsid w:val="007341E8"/>
    <w:rsid w:val="0073531D"/>
    <w:rsid w:val="007412EC"/>
    <w:rsid w:val="00753E0E"/>
    <w:rsid w:val="007553C3"/>
    <w:rsid w:val="00757CE3"/>
    <w:rsid w:val="00760055"/>
    <w:rsid w:val="007611A0"/>
    <w:rsid w:val="007667C3"/>
    <w:rsid w:val="0078048A"/>
    <w:rsid w:val="007909B8"/>
    <w:rsid w:val="00795E57"/>
    <w:rsid w:val="007A1E80"/>
    <w:rsid w:val="007A2D98"/>
    <w:rsid w:val="007A4E90"/>
    <w:rsid w:val="007A6031"/>
    <w:rsid w:val="007A634C"/>
    <w:rsid w:val="007A672F"/>
    <w:rsid w:val="007A7024"/>
    <w:rsid w:val="007B4600"/>
    <w:rsid w:val="007B5FE8"/>
    <w:rsid w:val="007B7F9C"/>
    <w:rsid w:val="007C24EB"/>
    <w:rsid w:val="007C3498"/>
    <w:rsid w:val="007D5729"/>
    <w:rsid w:val="007D75B7"/>
    <w:rsid w:val="007E13CE"/>
    <w:rsid w:val="007E190A"/>
    <w:rsid w:val="007E71E5"/>
    <w:rsid w:val="007E769C"/>
    <w:rsid w:val="007F21E8"/>
    <w:rsid w:val="007F31A5"/>
    <w:rsid w:val="007F4A18"/>
    <w:rsid w:val="007F68F3"/>
    <w:rsid w:val="00822030"/>
    <w:rsid w:val="00822533"/>
    <w:rsid w:val="00824544"/>
    <w:rsid w:val="00824D7C"/>
    <w:rsid w:val="00824FCF"/>
    <w:rsid w:val="0083124A"/>
    <w:rsid w:val="00832D34"/>
    <w:rsid w:val="00834FCC"/>
    <w:rsid w:val="008445B4"/>
    <w:rsid w:val="00846E2F"/>
    <w:rsid w:val="00847195"/>
    <w:rsid w:val="0086018D"/>
    <w:rsid w:val="00861174"/>
    <w:rsid w:val="00861A86"/>
    <w:rsid w:val="00872CEF"/>
    <w:rsid w:val="00880F7D"/>
    <w:rsid w:val="008837C2"/>
    <w:rsid w:val="00883DC0"/>
    <w:rsid w:val="00885778"/>
    <w:rsid w:val="00886B54"/>
    <w:rsid w:val="008940C5"/>
    <w:rsid w:val="008A222D"/>
    <w:rsid w:val="008B2352"/>
    <w:rsid w:val="008B7A19"/>
    <w:rsid w:val="008C743A"/>
    <w:rsid w:val="00916B39"/>
    <w:rsid w:val="00921599"/>
    <w:rsid w:val="0093303D"/>
    <w:rsid w:val="00942639"/>
    <w:rsid w:val="00942D32"/>
    <w:rsid w:val="009443A9"/>
    <w:rsid w:val="0094717D"/>
    <w:rsid w:val="00951D59"/>
    <w:rsid w:val="00956797"/>
    <w:rsid w:val="009600A2"/>
    <w:rsid w:val="00960E0C"/>
    <w:rsid w:val="009640B4"/>
    <w:rsid w:val="00970DE4"/>
    <w:rsid w:val="009726E6"/>
    <w:rsid w:val="00977B8B"/>
    <w:rsid w:val="00982771"/>
    <w:rsid w:val="00990E89"/>
    <w:rsid w:val="00992303"/>
    <w:rsid w:val="009930CE"/>
    <w:rsid w:val="00995A78"/>
    <w:rsid w:val="009A368F"/>
    <w:rsid w:val="009B6B4D"/>
    <w:rsid w:val="009B7778"/>
    <w:rsid w:val="009C0AA7"/>
    <w:rsid w:val="009D1CB6"/>
    <w:rsid w:val="009D7F81"/>
    <w:rsid w:val="009E0B7C"/>
    <w:rsid w:val="009E64FC"/>
    <w:rsid w:val="009E656D"/>
    <w:rsid w:val="009F4976"/>
    <w:rsid w:val="009F4C6D"/>
    <w:rsid w:val="009F614E"/>
    <w:rsid w:val="00A02B89"/>
    <w:rsid w:val="00A161C9"/>
    <w:rsid w:val="00A233ED"/>
    <w:rsid w:val="00A414B8"/>
    <w:rsid w:val="00A41894"/>
    <w:rsid w:val="00A44A37"/>
    <w:rsid w:val="00A47DC5"/>
    <w:rsid w:val="00A5642C"/>
    <w:rsid w:val="00A56B33"/>
    <w:rsid w:val="00A709FB"/>
    <w:rsid w:val="00A72A08"/>
    <w:rsid w:val="00A77383"/>
    <w:rsid w:val="00A97634"/>
    <w:rsid w:val="00AA6AC4"/>
    <w:rsid w:val="00AA7C3D"/>
    <w:rsid w:val="00AC3FB1"/>
    <w:rsid w:val="00AD0DA2"/>
    <w:rsid w:val="00AD2E4A"/>
    <w:rsid w:val="00AD4381"/>
    <w:rsid w:val="00AE41DA"/>
    <w:rsid w:val="00AE78B1"/>
    <w:rsid w:val="00AF6765"/>
    <w:rsid w:val="00B00159"/>
    <w:rsid w:val="00B03D40"/>
    <w:rsid w:val="00B05920"/>
    <w:rsid w:val="00B06B49"/>
    <w:rsid w:val="00B11F2C"/>
    <w:rsid w:val="00B120EE"/>
    <w:rsid w:val="00B14217"/>
    <w:rsid w:val="00B25341"/>
    <w:rsid w:val="00B30549"/>
    <w:rsid w:val="00B36409"/>
    <w:rsid w:val="00B547D2"/>
    <w:rsid w:val="00B67946"/>
    <w:rsid w:val="00B67F45"/>
    <w:rsid w:val="00BA10FB"/>
    <w:rsid w:val="00BB3C2A"/>
    <w:rsid w:val="00BB5395"/>
    <w:rsid w:val="00BC086F"/>
    <w:rsid w:val="00BC18B7"/>
    <w:rsid w:val="00BC3C4A"/>
    <w:rsid w:val="00BE27BF"/>
    <w:rsid w:val="00BE57A9"/>
    <w:rsid w:val="00BE784D"/>
    <w:rsid w:val="00BF3E2A"/>
    <w:rsid w:val="00C0141D"/>
    <w:rsid w:val="00C02D44"/>
    <w:rsid w:val="00C0640B"/>
    <w:rsid w:val="00C070F0"/>
    <w:rsid w:val="00C07E88"/>
    <w:rsid w:val="00C20631"/>
    <w:rsid w:val="00C210F0"/>
    <w:rsid w:val="00C308ED"/>
    <w:rsid w:val="00C32EAE"/>
    <w:rsid w:val="00C3477A"/>
    <w:rsid w:val="00C3581C"/>
    <w:rsid w:val="00C44F14"/>
    <w:rsid w:val="00C47F10"/>
    <w:rsid w:val="00C539B4"/>
    <w:rsid w:val="00C6360E"/>
    <w:rsid w:val="00C6416A"/>
    <w:rsid w:val="00C66175"/>
    <w:rsid w:val="00C8218D"/>
    <w:rsid w:val="00C91F36"/>
    <w:rsid w:val="00C97396"/>
    <w:rsid w:val="00CA74D1"/>
    <w:rsid w:val="00CD77D9"/>
    <w:rsid w:val="00CE0DB2"/>
    <w:rsid w:val="00CE119F"/>
    <w:rsid w:val="00CF084C"/>
    <w:rsid w:val="00CF0E30"/>
    <w:rsid w:val="00D1115D"/>
    <w:rsid w:val="00D17822"/>
    <w:rsid w:val="00D47A66"/>
    <w:rsid w:val="00D626A3"/>
    <w:rsid w:val="00D70411"/>
    <w:rsid w:val="00D76365"/>
    <w:rsid w:val="00D811BD"/>
    <w:rsid w:val="00D84097"/>
    <w:rsid w:val="00D93434"/>
    <w:rsid w:val="00D93FC6"/>
    <w:rsid w:val="00DB0DA6"/>
    <w:rsid w:val="00DC0819"/>
    <w:rsid w:val="00DC4BF2"/>
    <w:rsid w:val="00DC5C2C"/>
    <w:rsid w:val="00DE0BDA"/>
    <w:rsid w:val="00DE63A7"/>
    <w:rsid w:val="00E00506"/>
    <w:rsid w:val="00E01254"/>
    <w:rsid w:val="00E14753"/>
    <w:rsid w:val="00E16C1E"/>
    <w:rsid w:val="00E16CF4"/>
    <w:rsid w:val="00E17249"/>
    <w:rsid w:val="00E17A0F"/>
    <w:rsid w:val="00E224E7"/>
    <w:rsid w:val="00E226F8"/>
    <w:rsid w:val="00E251E5"/>
    <w:rsid w:val="00E43D26"/>
    <w:rsid w:val="00E61D0B"/>
    <w:rsid w:val="00E66F32"/>
    <w:rsid w:val="00E674AE"/>
    <w:rsid w:val="00E83EEE"/>
    <w:rsid w:val="00E92376"/>
    <w:rsid w:val="00E93BF0"/>
    <w:rsid w:val="00E96CAC"/>
    <w:rsid w:val="00EA4699"/>
    <w:rsid w:val="00EA6E05"/>
    <w:rsid w:val="00EB1B18"/>
    <w:rsid w:val="00EB4DF7"/>
    <w:rsid w:val="00EC447B"/>
    <w:rsid w:val="00EC7768"/>
    <w:rsid w:val="00ED2BD6"/>
    <w:rsid w:val="00ED326F"/>
    <w:rsid w:val="00ED4001"/>
    <w:rsid w:val="00ED4CD4"/>
    <w:rsid w:val="00ED4F0E"/>
    <w:rsid w:val="00ED5343"/>
    <w:rsid w:val="00F00B78"/>
    <w:rsid w:val="00F027D7"/>
    <w:rsid w:val="00F12E65"/>
    <w:rsid w:val="00F148A6"/>
    <w:rsid w:val="00F2028A"/>
    <w:rsid w:val="00F22471"/>
    <w:rsid w:val="00F27739"/>
    <w:rsid w:val="00F305BF"/>
    <w:rsid w:val="00F32673"/>
    <w:rsid w:val="00F44769"/>
    <w:rsid w:val="00F52E70"/>
    <w:rsid w:val="00F53FA7"/>
    <w:rsid w:val="00F571A9"/>
    <w:rsid w:val="00F5732B"/>
    <w:rsid w:val="00F61D77"/>
    <w:rsid w:val="00F62402"/>
    <w:rsid w:val="00F730AA"/>
    <w:rsid w:val="00F77E01"/>
    <w:rsid w:val="00F87319"/>
    <w:rsid w:val="00FB4F23"/>
    <w:rsid w:val="00FC44ED"/>
    <w:rsid w:val="00FE2E2B"/>
    <w:rsid w:val="00FE3768"/>
    <w:rsid w:val="00FE39BF"/>
    <w:rsid w:val="00FF5E3B"/>
    <w:rsid w:val="015C2F72"/>
    <w:rsid w:val="025517E0"/>
    <w:rsid w:val="03456EEA"/>
    <w:rsid w:val="038C7AB4"/>
    <w:rsid w:val="03A96349"/>
    <w:rsid w:val="03F26185"/>
    <w:rsid w:val="0478705F"/>
    <w:rsid w:val="05226C13"/>
    <w:rsid w:val="05246825"/>
    <w:rsid w:val="058E41C4"/>
    <w:rsid w:val="06061D48"/>
    <w:rsid w:val="06680D11"/>
    <w:rsid w:val="073F5791"/>
    <w:rsid w:val="079E0D8E"/>
    <w:rsid w:val="07C868B0"/>
    <w:rsid w:val="08457598"/>
    <w:rsid w:val="093E24FB"/>
    <w:rsid w:val="098531AD"/>
    <w:rsid w:val="09B80B36"/>
    <w:rsid w:val="0A1F33AB"/>
    <w:rsid w:val="0A552200"/>
    <w:rsid w:val="0B3E3BDA"/>
    <w:rsid w:val="0B446F01"/>
    <w:rsid w:val="0C610FDC"/>
    <w:rsid w:val="0C616DDD"/>
    <w:rsid w:val="0E2F3B55"/>
    <w:rsid w:val="0E4B55DD"/>
    <w:rsid w:val="0EC937F0"/>
    <w:rsid w:val="0EE33E4A"/>
    <w:rsid w:val="0F370B05"/>
    <w:rsid w:val="0F4A7B25"/>
    <w:rsid w:val="0F503B6A"/>
    <w:rsid w:val="0F8D44AE"/>
    <w:rsid w:val="0FD82481"/>
    <w:rsid w:val="0FF41CC9"/>
    <w:rsid w:val="1023025C"/>
    <w:rsid w:val="1083311F"/>
    <w:rsid w:val="11DA23A6"/>
    <w:rsid w:val="122E44B2"/>
    <w:rsid w:val="123060B8"/>
    <w:rsid w:val="129373E3"/>
    <w:rsid w:val="13BD2925"/>
    <w:rsid w:val="13E05FAA"/>
    <w:rsid w:val="14643699"/>
    <w:rsid w:val="153417A6"/>
    <w:rsid w:val="16F5303A"/>
    <w:rsid w:val="16F60ABB"/>
    <w:rsid w:val="1872428E"/>
    <w:rsid w:val="190E18BF"/>
    <w:rsid w:val="19430300"/>
    <w:rsid w:val="195F75F9"/>
    <w:rsid w:val="19CC6F5F"/>
    <w:rsid w:val="1AC40FF6"/>
    <w:rsid w:val="1AF844CE"/>
    <w:rsid w:val="1AF866D9"/>
    <w:rsid w:val="1B60368C"/>
    <w:rsid w:val="1CC8383D"/>
    <w:rsid w:val="1CED2113"/>
    <w:rsid w:val="1D2D4DD3"/>
    <w:rsid w:val="1D407C9A"/>
    <w:rsid w:val="1E390005"/>
    <w:rsid w:val="1E470382"/>
    <w:rsid w:val="1E931443"/>
    <w:rsid w:val="1ECF381A"/>
    <w:rsid w:val="1FA36DA2"/>
    <w:rsid w:val="21800B85"/>
    <w:rsid w:val="22592C8B"/>
    <w:rsid w:val="22F83F14"/>
    <w:rsid w:val="23865536"/>
    <w:rsid w:val="23886CB9"/>
    <w:rsid w:val="23F06FE5"/>
    <w:rsid w:val="240A168C"/>
    <w:rsid w:val="24201BFE"/>
    <w:rsid w:val="242B0CEB"/>
    <w:rsid w:val="24345221"/>
    <w:rsid w:val="245971DF"/>
    <w:rsid w:val="246E3FA7"/>
    <w:rsid w:val="24F72435"/>
    <w:rsid w:val="2628063B"/>
    <w:rsid w:val="26371849"/>
    <w:rsid w:val="26377985"/>
    <w:rsid w:val="26D63BC5"/>
    <w:rsid w:val="270C763A"/>
    <w:rsid w:val="27112725"/>
    <w:rsid w:val="27F73941"/>
    <w:rsid w:val="27FB52AD"/>
    <w:rsid w:val="283819A4"/>
    <w:rsid w:val="29105301"/>
    <w:rsid w:val="2A0A48D5"/>
    <w:rsid w:val="2A0B74D7"/>
    <w:rsid w:val="2A13628A"/>
    <w:rsid w:val="2BA25079"/>
    <w:rsid w:val="2C6B57F0"/>
    <w:rsid w:val="2C8A4A20"/>
    <w:rsid w:val="2CEB7869"/>
    <w:rsid w:val="2DE45D3A"/>
    <w:rsid w:val="2DE75B0A"/>
    <w:rsid w:val="2F2E5B68"/>
    <w:rsid w:val="307D49AD"/>
    <w:rsid w:val="30C818EC"/>
    <w:rsid w:val="30FE3488"/>
    <w:rsid w:val="3125512E"/>
    <w:rsid w:val="32EA4525"/>
    <w:rsid w:val="335069BC"/>
    <w:rsid w:val="339667C3"/>
    <w:rsid w:val="342A4BEA"/>
    <w:rsid w:val="35684E2E"/>
    <w:rsid w:val="356F5632"/>
    <w:rsid w:val="362A6E85"/>
    <w:rsid w:val="37B665A7"/>
    <w:rsid w:val="37E31CBE"/>
    <w:rsid w:val="383A7E81"/>
    <w:rsid w:val="38821590"/>
    <w:rsid w:val="38DD26DC"/>
    <w:rsid w:val="38E00EBC"/>
    <w:rsid w:val="39401BFB"/>
    <w:rsid w:val="39A7570C"/>
    <w:rsid w:val="39D32990"/>
    <w:rsid w:val="3A651D5D"/>
    <w:rsid w:val="3B315D14"/>
    <w:rsid w:val="3BA137AD"/>
    <w:rsid w:val="3BC5739B"/>
    <w:rsid w:val="3FCC7236"/>
    <w:rsid w:val="3FE9D262"/>
    <w:rsid w:val="40C208F7"/>
    <w:rsid w:val="40DC0F96"/>
    <w:rsid w:val="431D1899"/>
    <w:rsid w:val="439245C8"/>
    <w:rsid w:val="43CE64CC"/>
    <w:rsid w:val="44CF7410"/>
    <w:rsid w:val="44DF341F"/>
    <w:rsid w:val="44FE0DBC"/>
    <w:rsid w:val="45150039"/>
    <w:rsid w:val="45344388"/>
    <w:rsid w:val="455D4659"/>
    <w:rsid w:val="46BE7EB0"/>
    <w:rsid w:val="473751E4"/>
    <w:rsid w:val="478512D8"/>
    <w:rsid w:val="47E91FFD"/>
    <w:rsid w:val="483E5AFB"/>
    <w:rsid w:val="4AA52C67"/>
    <w:rsid w:val="4AEC7EA0"/>
    <w:rsid w:val="4B33126C"/>
    <w:rsid w:val="4C08271D"/>
    <w:rsid w:val="4C3C0854"/>
    <w:rsid w:val="4D041FFB"/>
    <w:rsid w:val="4D5A1EF6"/>
    <w:rsid w:val="4DE07BD1"/>
    <w:rsid w:val="4F7222C8"/>
    <w:rsid w:val="4FE57021"/>
    <w:rsid w:val="4FF3039E"/>
    <w:rsid w:val="504F3F8D"/>
    <w:rsid w:val="505066D1"/>
    <w:rsid w:val="508D5D31"/>
    <w:rsid w:val="5277642B"/>
    <w:rsid w:val="52B97DEE"/>
    <w:rsid w:val="531E0DED"/>
    <w:rsid w:val="53FF5B69"/>
    <w:rsid w:val="544B226E"/>
    <w:rsid w:val="54FC024F"/>
    <w:rsid w:val="55152E8E"/>
    <w:rsid w:val="55E912A0"/>
    <w:rsid w:val="560A4CB8"/>
    <w:rsid w:val="581F5D22"/>
    <w:rsid w:val="58A4714A"/>
    <w:rsid w:val="591D7FA0"/>
    <w:rsid w:val="599E0097"/>
    <w:rsid w:val="5A7C689C"/>
    <w:rsid w:val="5AA16833"/>
    <w:rsid w:val="5B622739"/>
    <w:rsid w:val="5B7643E2"/>
    <w:rsid w:val="5B793A89"/>
    <w:rsid w:val="5B8D2DEE"/>
    <w:rsid w:val="5BB72E15"/>
    <w:rsid w:val="5BE72944"/>
    <w:rsid w:val="5C737BD6"/>
    <w:rsid w:val="5E3C3929"/>
    <w:rsid w:val="5F6433DE"/>
    <w:rsid w:val="5F8F5D87"/>
    <w:rsid w:val="5FCE0C36"/>
    <w:rsid w:val="60790CD5"/>
    <w:rsid w:val="608632B5"/>
    <w:rsid w:val="608C2C02"/>
    <w:rsid w:val="6111214D"/>
    <w:rsid w:val="61B067D3"/>
    <w:rsid w:val="62DF072B"/>
    <w:rsid w:val="63CA2740"/>
    <w:rsid w:val="63F30143"/>
    <w:rsid w:val="646A444D"/>
    <w:rsid w:val="649D798B"/>
    <w:rsid w:val="64C81CF2"/>
    <w:rsid w:val="64FC22A4"/>
    <w:rsid w:val="65A2414A"/>
    <w:rsid w:val="65A402BA"/>
    <w:rsid w:val="66C73BE1"/>
    <w:rsid w:val="68A634BD"/>
    <w:rsid w:val="68AF1A44"/>
    <w:rsid w:val="690F2EED"/>
    <w:rsid w:val="69240037"/>
    <w:rsid w:val="698A2836"/>
    <w:rsid w:val="699E5419"/>
    <w:rsid w:val="69B00E52"/>
    <w:rsid w:val="6A131496"/>
    <w:rsid w:val="6A65333C"/>
    <w:rsid w:val="6AA1780D"/>
    <w:rsid w:val="6B72648E"/>
    <w:rsid w:val="6B8E522D"/>
    <w:rsid w:val="6BE674CE"/>
    <w:rsid w:val="6C384002"/>
    <w:rsid w:val="6C6C60A3"/>
    <w:rsid w:val="6C9176A5"/>
    <w:rsid w:val="6C955CB1"/>
    <w:rsid w:val="6CF50D4D"/>
    <w:rsid w:val="6D12279C"/>
    <w:rsid w:val="6DBF0A3F"/>
    <w:rsid w:val="6EB77A88"/>
    <w:rsid w:val="6F1C1E64"/>
    <w:rsid w:val="713F665A"/>
    <w:rsid w:val="715628F4"/>
    <w:rsid w:val="716F13A8"/>
    <w:rsid w:val="71FE5F2B"/>
    <w:rsid w:val="72BF0B1B"/>
    <w:rsid w:val="73344E1F"/>
    <w:rsid w:val="73523256"/>
    <w:rsid w:val="740F75FB"/>
    <w:rsid w:val="74B365BF"/>
    <w:rsid w:val="75951AF7"/>
    <w:rsid w:val="75E00E60"/>
    <w:rsid w:val="762D435D"/>
    <w:rsid w:val="775C533C"/>
    <w:rsid w:val="778F5135"/>
    <w:rsid w:val="78F969B7"/>
    <w:rsid w:val="79642E90"/>
    <w:rsid w:val="79BD0AD5"/>
    <w:rsid w:val="7B767935"/>
    <w:rsid w:val="7BED6A56"/>
    <w:rsid w:val="7BF54FE9"/>
    <w:rsid w:val="7C960D49"/>
    <w:rsid w:val="7CB650A7"/>
    <w:rsid w:val="7D0E6233"/>
    <w:rsid w:val="7DE80C9C"/>
    <w:rsid w:val="7E2B0ED1"/>
    <w:rsid w:val="7E2B598D"/>
    <w:rsid w:val="7E2C0292"/>
    <w:rsid w:val="7E3B63A6"/>
    <w:rsid w:val="7F132EFF"/>
    <w:rsid w:val="7F413087"/>
    <w:rsid w:val="7F6C689A"/>
    <w:rsid w:val="7F8661D9"/>
    <w:rsid w:val="7FD604F2"/>
    <w:rsid w:val="7FE43DBF"/>
    <w:rsid w:val="E5FFDD63"/>
    <w:rsid w:val="FFF7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仿宋_GB2312" w:cs="黑体"/>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unhideWhenUsed/>
    <w:qFormat/>
    <w:uiPriority w:val="0"/>
    <w:rPr>
      <w:szCs w:val="32"/>
    </w:rPr>
  </w:style>
  <w:style w:type="paragraph" w:styleId="5">
    <w:name w:val="Balloon Text"/>
    <w:basedOn w:val="1"/>
    <w:link w:val="2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Times New Roman"/>
      <w:kern w:val="0"/>
      <w:sz w:val="24"/>
    </w:rPr>
  </w:style>
  <w:style w:type="paragraph" w:styleId="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0">
    <w:name w:val="Body Text First Indent"/>
    <w:basedOn w:val="4"/>
    <w:qFormat/>
    <w:uiPriority w:val="0"/>
    <w:pPr>
      <w:ind w:firstLine="88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annotation reference"/>
    <w:basedOn w:val="13"/>
    <w:unhideWhenUsed/>
    <w:qFormat/>
    <w:uiPriority w:val="99"/>
    <w:rPr>
      <w:sz w:val="21"/>
      <w:szCs w:val="21"/>
    </w:rPr>
  </w:style>
  <w:style w:type="paragraph" w:customStyle="1" w:styleId="16">
    <w:name w:val="Char Char Char Char Char"/>
    <w:basedOn w:val="1"/>
    <w:qFormat/>
    <w:uiPriority w:val="0"/>
    <w:pPr>
      <w:spacing w:line="360" w:lineRule="auto"/>
    </w:pPr>
    <w:rPr>
      <w:rFonts w:ascii="Tahoma" w:hAnsi="Tahoma"/>
      <w:sz w:val="24"/>
      <w:szCs w:val="20"/>
    </w:rPr>
  </w:style>
  <w:style w:type="paragraph" w:customStyle="1" w:styleId="17">
    <w:name w:val="列表段落1"/>
    <w:basedOn w:val="1"/>
    <w:qFormat/>
    <w:uiPriority w:val="34"/>
  </w:style>
  <w:style w:type="character" w:customStyle="1" w:styleId="18">
    <w:name w:val="font61"/>
    <w:qFormat/>
    <w:uiPriority w:val="0"/>
    <w:rPr>
      <w:rFonts w:ascii="仿宋_GB2312" w:eastAsia="仿宋_GB2312" w:cs="仿宋_GB2312"/>
      <w:color w:val="000000"/>
      <w:sz w:val="24"/>
      <w:szCs w:val="24"/>
      <w:u w:val="none"/>
    </w:rPr>
  </w:style>
  <w:style w:type="character" w:customStyle="1" w:styleId="19">
    <w:name w:val="bjh-p"/>
    <w:basedOn w:val="13"/>
    <w:qFormat/>
    <w:uiPriority w:val="0"/>
  </w:style>
  <w:style w:type="character" w:customStyle="1" w:styleId="20">
    <w:name w:val="font31"/>
    <w:qFormat/>
    <w:uiPriority w:val="0"/>
    <w:rPr>
      <w:rFonts w:hint="eastAsia" w:ascii="仿宋_GB2312" w:eastAsia="仿宋_GB2312" w:cs="仿宋_GB2312"/>
      <w:b/>
      <w:color w:val="000000"/>
      <w:sz w:val="28"/>
      <w:szCs w:val="28"/>
      <w:u w:val="none"/>
    </w:rPr>
  </w:style>
  <w:style w:type="character" w:customStyle="1" w:styleId="21">
    <w:name w:val="font41"/>
    <w:qFormat/>
    <w:uiPriority w:val="0"/>
    <w:rPr>
      <w:rFonts w:hint="eastAsia" w:ascii="仿宋_GB2312" w:eastAsia="仿宋_GB2312" w:cs="仿宋_GB2312"/>
      <w:color w:val="000000"/>
      <w:sz w:val="28"/>
      <w:szCs w:val="28"/>
      <w:u w:val="none"/>
    </w:rPr>
  </w:style>
  <w:style w:type="character" w:customStyle="1" w:styleId="22">
    <w:name w:val="font21"/>
    <w:qFormat/>
    <w:uiPriority w:val="0"/>
    <w:rPr>
      <w:rFonts w:hint="eastAsia" w:ascii="仿宋_GB2312" w:eastAsia="仿宋_GB2312" w:cs="仿宋_GB2312"/>
      <w:color w:val="000000"/>
      <w:sz w:val="28"/>
      <w:szCs w:val="28"/>
      <w:u w:val="none"/>
    </w:rPr>
  </w:style>
  <w:style w:type="character" w:customStyle="1" w:styleId="23">
    <w:name w:val="font01"/>
    <w:qFormat/>
    <w:uiPriority w:val="0"/>
    <w:rPr>
      <w:rFonts w:hint="eastAsia" w:ascii="仿宋_GB2312" w:eastAsia="仿宋_GB2312" w:cs="仿宋_GB2312"/>
      <w:color w:val="000000"/>
      <w:sz w:val="28"/>
      <w:szCs w:val="28"/>
      <w:u w:val="none"/>
      <w:vertAlign w:val="superscript"/>
    </w:rPr>
  </w:style>
  <w:style w:type="character" w:customStyle="1" w:styleId="24">
    <w:name w:val="HTML 预设格式 Char"/>
    <w:basedOn w:val="13"/>
    <w:link w:val="8"/>
    <w:qFormat/>
    <w:uiPriority w:val="99"/>
    <w:rPr>
      <w:rFonts w:ascii="宋体" w:hAnsi="宋体"/>
      <w:sz w:val="24"/>
      <w:szCs w:val="24"/>
    </w:rPr>
  </w:style>
  <w:style w:type="character" w:customStyle="1" w:styleId="25">
    <w:name w:val="批注框文本 Char"/>
    <w:basedOn w:val="13"/>
    <w:link w:val="5"/>
    <w:qFormat/>
    <w:uiPriority w:val="0"/>
    <w:rPr>
      <w:rFonts w:ascii="Calibri" w:hAnsi="Calibri" w:eastAsia="仿宋_GB2312"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2012</Words>
  <Characters>11473</Characters>
  <Lines>95</Lines>
  <Paragraphs>26</Paragraphs>
  <TotalTime>19</TotalTime>
  <ScaleCrop>false</ScaleCrop>
  <LinksUpToDate>false</LinksUpToDate>
  <CharactersWithSpaces>13459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2020-02-18T09:04:00Z</dcterms:created>
  <dc:creator>86188</dc:creator>
  <cp:lastModifiedBy>greatwall</cp:lastModifiedBy>
  <cp:lastPrinted>2021-08-25T17:44:00Z</cp:lastPrinted>
  <dcterms:modified xsi:type="dcterms:W3CDTF">2021-12-14T09:41:02Z</dcterms:modified>
  <dc:title>焦作市生态环境局关于征求《焦作市生态环境行政处罚裁量基准适用规则（修订）》《焦作市生态环境行政处罚裁量基准》意见建议的通知</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AA081FABBBE04F1C8E9D800AE22E18CB</vt:lpwstr>
  </property>
</Properties>
</file>