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3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254"/>
        <w:gridCol w:w="1830"/>
        <w:gridCol w:w="1290"/>
        <w:gridCol w:w="288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3797" w:type="dxa"/>
            <w:gridSpan w:val="6"/>
            <w:tcBorders>
              <w:top w:val="nil"/>
              <w:left w:val="nil"/>
              <w:right w:val="nil"/>
            </w:tcBorders>
            <w:vAlign w:val="center"/>
          </w:tcPr>
          <w:p>
            <w:pPr>
              <w:widowControl/>
              <w:spacing w:line="560" w:lineRule="exact"/>
              <w:jc w:val="center"/>
              <w:rPr>
                <w:rFonts w:hAnsi="宋体" w:eastAsia="黑体"/>
                <w:b/>
                <w:bCs/>
                <w:color w:val="000000"/>
                <w:kern w:val="0"/>
                <w:sz w:val="44"/>
                <w:szCs w:val="44"/>
              </w:rPr>
            </w:pPr>
            <w:r>
              <w:rPr>
                <w:rFonts w:hint="eastAsia" w:ascii="黑体" w:hAnsi="宋体" w:eastAsia="黑体" w:cs="宋体"/>
                <w:kern w:val="0"/>
                <w:sz w:val="44"/>
                <w:szCs w:val="44"/>
              </w:rPr>
              <w:t>《郑州市非物质文化遗产保护办法》行政处罚自由裁量标准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709" w:type="dxa"/>
            <w:vAlign w:val="center"/>
          </w:tcPr>
          <w:p>
            <w:pPr>
              <w:widowControl/>
              <w:spacing w:line="440" w:lineRule="exact"/>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序号</w:t>
            </w:r>
          </w:p>
        </w:tc>
        <w:tc>
          <w:tcPr>
            <w:tcW w:w="3254" w:type="dxa"/>
            <w:vAlign w:val="center"/>
          </w:tcPr>
          <w:p>
            <w:pPr>
              <w:widowControl/>
              <w:spacing w:line="440" w:lineRule="exact"/>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行政处罚依据</w:t>
            </w:r>
          </w:p>
        </w:tc>
        <w:tc>
          <w:tcPr>
            <w:tcW w:w="1830" w:type="dxa"/>
            <w:vAlign w:val="center"/>
          </w:tcPr>
          <w:p>
            <w:pPr>
              <w:widowControl/>
              <w:spacing w:line="440" w:lineRule="exact"/>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事项</w:t>
            </w:r>
          </w:p>
        </w:tc>
        <w:tc>
          <w:tcPr>
            <w:tcW w:w="1290" w:type="dxa"/>
            <w:vAlign w:val="center"/>
          </w:tcPr>
          <w:p>
            <w:pPr>
              <w:widowControl/>
              <w:spacing w:line="440" w:lineRule="exact"/>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裁量阶次</w:t>
            </w:r>
          </w:p>
        </w:tc>
        <w:tc>
          <w:tcPr>
            <w:tcW w:w="2887" w:type="dxa"/>
            <w:vAlign w:val="center"/>
          </w:tcPr>
          <w:p>
            <w:pPr>
              <w:widowControl/>
              <w:spacing w:line="440" w:lineRule="exact"/>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违法行为表现情形</w:t>
            </w:r>
          </w:p>
        </w:tc>
        <w:tc>
          <w:tcPr>
            <w:tcW w:w="3827" w:type="dxa"/>
            <w:vAlign w:val="center"/>
          </w:tcPr>
          <w:p>
            <w:pPr>
              <w:widowControl/>
              <w:spacing w:line="440" w:lineRule="exact"/>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行政处罚标准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709" w:type="dxa"/>
            <w:vMerge w:val="restart"/>
            <w:vAlign w:val="center"/>
          </w:tcPr>
          <w:p>
            <w:pPr>
              <w:widowControl/>
              <w:spacing w:line="24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3254" w:type="dxa"/>
            <w:vMerge w:val="restart"/>
            <w:vAlign w:val="center"/>
          </w:tcPr>
          <w:p>
            <w:pPr>
              <w:widowControl/>
              <w:spacing w:line="24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第四十八条 非物质文化遗产代表性项目保护单位或者代表性传承人违反本办法第四十四条第一款规定，从事与其资格不相符的名义开展传承、传播活动的，由市、县（市、区）非物质文化遗产行政管理部门责令限期改正，并处以警告。</w:t>
            </w:r>
          </w:p>
          <w:p>
            <w:pPr>
              <w:widowControl/>
              <w:spacing w:line="240" w:lineRule="exact"/>
              <w:ind w:firstLine="480" w:firstLineChars="200"/>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取得非物质文化遗产代表性项目保护单位、代表性传承人资格的单位或者个人违反本办法第四十四条第二款规定，以保护单位、代表性传承人的名义开展传承、传播活动的，由市、县（市、区）非物质文化遗产行政管理部门责令限期改正；逾期未改正的，对单位处以5000元以上1万元以下罚款，对个人处以1000元以上5000元以下罚款。</w:t>
            </w:r>
          </w:p>
        </w:tc>
        <w:tc>
          <w:tcPr>
            <w:tcW w:w="1830" w:type="dxa"/>
            <w:vMerge w:val="restart"/>
            <w:vAlign w:val="center"/>
          </w:tcPr>
          <w:p>
            <w:pPr>
              <w:widowControl/>
              <w:spacing w:line="24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未取得非物质文化遗产代表性项目保护单位、代表性传承人资格的单位或者个人以保护单位、代表性传承人的名义开展传承、传播活动的</w:t>
            </w:r>
          </w:p>
        </w:tc>
        <w:tc>
          <w:tcPr>
            <w:tcW w:w="1290" w:type="dxa"/>
            <w:vAlign w:val="center"/>
          </w:tcPr>
          <w:p>
            <w:pPr>
              <w:widowControl/>
              <w:spacing w:line="24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2887" w:type="dxa"/>
            <w:vAlign w:val="center"/>
          </w:tcPr>
          <w:p>
            <w:pPr>
              <w:widowControl/>
              <w:spacing w:line="24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责令改正拒不改正，未发生损害的</w:t>
            </w:r>
          </w:p>
        </w:tc>
        <w:tc>
          <w:tcPr>
            <w:tcW w:w="3827" w:type="dxa"/>
            <w:vAlign w:val="center"/>
          </w:tcPr>
          <w:p>
            <w:pPr>
              <w:widowControl/>
              <w:spacing w:line="24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对单位处以</w:t>
            </w:r>
            <w:r>
              <w:rPr>
                <w:rFonts w:ascii="仿宋_GB2312" w:hAnsi="仿宋_GB2312" w:eastAsia="仿宋_GB2312" w:cs="仿宋_GB2312"/>
                <w:color w:val="000000"/>
                <w:kern w:val="0"/>
                <w:sz w:val="24"/>
                <w:szCs w:val="24"/>
              </w:rPr>
              <w:t>5000-</w:t>
            </w:r>
            <w:r>
              <w:rPr>
                <w:rFonts w:hint="eastAsia" w:ascii="仿宋_GB2312" w:hAnsi="仿宋_GB2312" w:eastAsia="仿宋_GB2312" w:cs="仿宋_GB2312"/>
                <w:color w:val="000000"/>
                <w:kern w:val="0"/>
                <w:sz w:val="24"/>
                <w:szCs w:val="24"/>
              </w:rPr>
              <w:t>7000元罚款，对个人处以1000-2000元罚款。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709" w:type="dxa"/>
            <w:vMerge w:val="continue"/>
            <w:vAlign w:val="center"/>
          </w:tcPr>
          <w:p>
            <w:pPr>
              <w:widowControl/>
              <w:spacing w:line="240" w:lineRule="exact"/>
              <w:jc w:val="left"/>
              <w:rPr>
                <w:rFonts w:ascii="仿宋_GB2312" w:hAnsi="仿宋_GB2312" w:eastAsia="仿宋_GB2312" w:cs="仿宋_GB2312"/>
                <w:color w:val="000000"/>
                <w:kern w:val="0"/>
                <w:sz w:val="24"/>
                <w:szCs w:val="24"/>
              </w:rPr>
            </w:pPr>
          </w:p>
        </w:tc>
        <w:tc>
          <w:tcPr>
            <w:tcW w:w="3254" w:type="dxa"/>
            <w:vMerge w:val="continue"/>
            <w:vAlign w:val="center"/>
          </w:tcPr>
          <w:p>
            <w:pPr>
              <w:widowControl/>
              <w:spacing w:line="240" w:lineRule="exact"/>
              <w:jc w:val="left"/>
              <w:rPr>
                <w:rFonts w:ascii="仿宋_GB2312" w:hAnsi="仿宋_GB2312" w:eastAsia="仿宋_GB2312" w:cs="仿宋_GB2312"/>
                <w:color w:val="000000"/>
                <w:kern w:val="0"/>
                <w:sz w:val="24"/>
                <w:szCs w:val="24"/>
              </w:rPr>
            </w:pPr>
          </w:p>
        </w:tc>
        <w:tc>
          <w:tcPr>
            <w:tcW w:w="1830" w:type="dxa"/>
            <w:vMerge w:val="continue"/>
            <w:vAlign w:val="center"/>
          </w:tcPr>
          <w:p>
            <w:pPr>
              <w:widowControl/>
              <w:spacing w:line="240" w:lineRule="exact"/>
              <w:jc w:val="left"/>
              <w:rPr>
                <w:rFonts w:ascii="仿宋_GB2312" w:hAnsi="仿宋_GB2312" w:eastAsia="仿宋_GB2312" w:cs="仿宋_GB2312"/>
                <w:color w:val="000000"/>
                <w:kern w:val="0"/>
                <w:sz w:val="24"/>
                <w:szCs w:val="24"/>
              </w:rPr>
            </w:pPr>
          </w:p>
        </w:tc>
        <w:tc>
          <w:tcPr>
            <w:tcW w:w="1290" w:type="dxa"/>
            <w:vAlign w:val="center"/>
          </w:tcPr>
          <w:p>
            <w:pPr>
              <w:widowControl/>
              <w:spacing w:line="24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一般</w:t>
            </w:r>
          </w:p>
        </w:tc>
        <w:tc>
          <w:tcPr>
            <w:tcW w:w="2887" w:type="dxa"/>
            <w:vAlign w:val="center"/>
          </w:tcPr>
          <w:p>
            <w:pPr>
              <w:widowControl/>
              <w:spacing w:line="24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责令改正拒不改正，造成不良影响的</w:t>
            </w:r>
          </w:p>
        </w:tc>
        <w:tc>
          <w:tcPr>
            <w:tcW w:w="3827" w:type="dxa"/>
            <w:vAlign w:val="center"/>
          </w:tcPr>
          <w:p>
            <w:pPr>
              <w:widowControl/>
              <w:spacing w:line="24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对单位处以7000-9000元罚款，对个人处以2000-4000元罚款。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3" w:hRule="atLeast"/>
          <w:jc w:val="center"/>
        </w:trPr>
        <w:tc>
          <w:tcPr>
            <w:tcW w:w="709" w:type="dxa"/>
            <w:vMerge w:val="continue"/>
            <w:vAlign w:val="center"/>
          </w:tcPr>
          <w:p>
            <w:pPr>
              <w:widowControl/>
              <w:spacing w:line="240" w:lineRule="exact"/>
              <w:jc w:val="left"/>
              <w:rPr>
                <w:rFonts w:ascii="仿宋_GB2312" w:hAnsi="仿宋_GB2312" w:eastAsia="仿宋_GB2312" w:cs="仿宋_GB2312"/>
                <w:color w:val="000000"/>
                <w:kern w:val="0"/>
                <w:sz w:val="24"/>
                <w:szCs w:val="24"/>
              </w:rPr>
            </w:pPr>
          </w:p>
        </w:tc>
        <w:tc>
          <w:tcPr>
            <w:tcW w:w="3254" w:type="dxa"/>
            <w:vMerge w:val="continue"/>
            <w:vAlign w:val="center"/>
          </w:tcPr>
          <w:p>
            <w:pPr>
              <w:widowControl/>
              <w:spacing w:line="240" w:lineRule="exact"/>
              <w:jc w:val="left"/>
              <w:rPr>
                <w:rFonts w:ascii="仿宋_GB2312" w:hAnsi="仿宋_GB2312" w:eastAsia="仿宋_GB2312" w:cs="仿宋_GB2312"/>
                <w:color w:val="000000"/>
                <w:kern w:val="0"/>
                <w:sz w:val="24"/>
                <w:szCs w:val="24"/>
              </w:rPr>
            </w:pPr>
          </w:p>
        </w:tc>
        <w:tc>
          <w:tcPr>
            <w:tcW w:w="1830" w:type="dxa"/>
            <w:vMerge w:val="continue"/>
            <w:vAlign w:val="center"/>
          </w:tcPr>
          <w:p>
            <w:pPr>
              <w:widowControl/>
              <w:spacing w:line="240" w:lineRule="exact"/>
              <w:jc w:val="left"/>
              <w:rPr>
                <w:rFonts w:ascii="仿宋_GB2312" w:hAnsi="仿宋_GB2312" w:eastAsia="仿宋_GB2312" w:cs="仿宋_GB2312"/>
                <w:color w:val="000000"/>
                <w:kern w:val="0"/>
                <w:sz w:val="24"/>
                <w:szCs w:val="24"/>
              </w:rPr>
            </w:pPr>
          </w:p>
        </w:tc>
        <w:tc>
          <w:tcPr>
            <w:tcW w:w="1290" w:type="dxa"/>
            <w:vAlign w:val="center"/>
          </w:tcPr>
          <w:p>
            <w:pPr>
              <w:widowControl/>
              <w:spacing w:line="24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2887" w:type="dxa"/>
            <w:vAlign w:val="center"/>
          </w:tcPr>
          <w:p>
            <w:pPr>
              <w:widowControl/>
              <w:spacing w:line="24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责令改正拒不改正，造成重大社会影响或其他严重后果的</w:t>
            </w:r>
          </w:p>
        </w:tc>
        <w:tc>
          <w:tcPr>
            <w:tcW w:w="3827" w:type="dxa"/>
            <w:vAlign w:val="center"/>
          </w:tcPr>
          <w:p>
            <w:pPr>
              <w:widowControl/>
              <w:spacing w:line="24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对单位处以9000-10000元罚款，对个人处以4000-5000元罚款。</w:t>
            </w:r>
          </w:p>
        </w:tc>
      </w:tr>
    </w:tbl>
    <w:p>
      <w:pPr>
        <w:pStyle w:val="12"/>
        <w:tabs>
          <w:tab w:val="left" w:pos="7230"/>
          <w:tab w:val="left" w:pos="7513"/>
          <w:tab w:val="left" w:pos="7655"/>
          <w:tab w:val="left" w:pos="7797"/>
        </w:tabs>
        <w:spacing w:line="560" w:lineRule="exact"/>
        <w:ind w:firstLine="420" w:firstLineChars="200"/>
        <w:jc w:val="left"/>
      </w:pPr>
      <w:bookmarkStart w:id="0" w:name="_GoBack"/>
      <w:bookmarkEnd w:id="0"/>
    </w:p>
    <w:sectPr>
      <w:footerReference r:id="rId3" w:type="default"/>
      <w:footerReference r:id="rId4" w:type="even"/>
      <w:pgSz w:w="16838" w:h="11906" w:orient="landscape"/>
      <w:pgMar w:top="1531" w:right="2098" w:bottom="1474" w:left="1871"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2303"/>
      <w:docPartObj>
        <w:docPartGallery w:val="autotext"/>
      </w:docPartObj>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rPr>
        <w:rFonts w:asciiTheme="majorEastAsia" w:hAnsiTheme="majorEastAsia" w:eastAsiaTheme="maj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F1"/>
    <w:rsid w:val="00030EB9"/>
    <w:rsid w:val="000A46CB"/>
    <w:rsid w:val="003503A1"/>
    <w:rsid w:val="0067200F"/>
    <w:rsid w:val="00B25A6C"/>
    <w:rsid w:val="00D06B3E"/>
    <w:rsid w:val="00E328F1"/>
    <w:rsid w:val="304D0930"/>
    <w:rsid w:val="39902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semiHidden/>
    <w:unhideWhenUsed/>
    <w:qFormat/>
    <w:uiPriority w:val="99"/>
    <w:pPr>
      <w:spacing w:after="120"/>
      <w:ind w:left="420" w:leftChars="200"/>
    </w:pPr>
  </w:style>
  <w:style w:type="paragraph" w:styleId="3">
    <w:name w:val="footer"/>
    <w:basedOn w:val="1"/>
    <w:link w:val="11"/>
    <w:unhideWhenUsed/>
    <w:qFormat/>
    <w:uiPriority w:val="99"/>
    <w:pPr>
      <w:tabs>
        <w:tab w:val="center" w:pos="4153"/>
        <w:tab w:val="right" w:pos="8306"/>
      </w:tabs>
      <w:snapToGrid w:val="0"/>
      <w:jc w:val="left"/>
    </w:pPr>
    <w:rPr>
      <w:sz w:val="18"/>
    </w:rPr>
  </w:style>
  <w:style w:type="paragraph" w:styleId="4">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6">
    <w:name w:val="Body Text First Indent 2"/>
    <w:basedOn w:val="2"/>
    <w:link w:val="14"/>
    <w:unhideWhenUsed/>
    <w:qFormat/>
    <w:uiPriority w:val="0"/>
    <w:pPr>
      <w:ind w:firstLine="420" w:firstLineChars="200"/>
    </w:pPr>
    <w:rPr>
      <w:szCs w:val="24"/>
    </w:rPr>
  </w:style>
  <w:style w:type="character" w:styleId="9">
    <w:name w:val="FollowedHyperlink"/>
    <w:basedOn w:val="8"/>
    <w:semiHidden/>
    <w:unhideWhenUsed/>
    <w:uiPriority w:val="99"/>
    <w:rPr>
      <w:color w:val="800080" w:themeColor="followedHyperlink"/>
      <w:u w:val="single"/>
      <w14:textFill>
        <w14:solidFill>
          <w14:schemeClr w14:val="folHlink"/>
        </w14:solidFill>
      </w14:textFill>
    </w:rPr>
  </w:style>
  <w:style w:type="character" w:styleId="10">
    <w:name w:val="Hyperlink"/>
    <w:basedOn w:val="8"/>
    <w:qFormat/>
    <w:uiPriority w:val="0"/>
    <w:rPr>
      <w:color w:val="0000FF"/>
      <w:u w:val="single"/>
    </w:rPr>
  </w:style>
  <w:style w:type="character" w:customStyle="1" w:styleId="11">
    <w:name w:val="页脚 Char"/>
    <w:basedOn w:val="8"/>
    <w:link w:val="3"/>
    <w:qFormat/>
    <w:uiPriority w:val="99"/>
    <w:rPr>
      <w:rFonts w:ascii="Times New Roman" w:hAnsi="Times New Roman" w:eastAsia="宋体" w:cs="Times New Roman"/>
      <w:sz w:val="18"/>
      <w:szCs w:val="20"/>
    </w:rPr>
  </w:style>
  <w:style w:type="paragraph" w:customStyle="1" w:styleId="12">
    <w:name w:val="p0"/>
    <w:basedOn w:val="1"/>
    <w:qFormat/>
    <w:uiPriority w:val="0"/>
    <w:pPr>
      <w:widowControl/>
    </w:pPr>
    <w:rPr>
      <w:kern w:val="0"/>
      <w:szCs w:val="21"/>
    </w:rPr>
  </w:style>
  <w:style w:type="character" w:customStyle="1" w:styleId="13">
    <w:name w:val="正文文本缩进 Char"/>
    <w:basedOn w:val="8"/>
    <w:link w:val="2"/>
    <w:semiHidden/>
    <w:qFormat/>
    <w:uiPriority w:val="99"/>
    <w:rPr>
      <w:rFonts w:ascii="Times New Roman" w:hAnsi="Times New Roman" w:eastAsia="宋体" w:cs="Times New Roman"/>
      <w:szCs w:val="20"/>
    </w:rPr>
  </w:style>
  <w:style w:type="character" w:customStyle="1" w:styleId="14">
    <w:name w:val="正文首行缩进 2 Char"/>
    <w:basedOn w:val="13"/>
    <w:link w:val="6"/>
    <w:qFormat/>
    <w:uiPriority w:val="0"/>
    <w:rPr>
      <w:szCs w:val="24"/>
    </w:rPr>
  </w:style>
  <w:style w:type="character" w:customStyle="1" w:styleId="15">
    <w:name w:val="页眉 Char"/>
    <w:basedOn w:val="8"/>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128</Words>
  <Characters>733</Characters>
  <Lines>6</Lines>
  <Paragraphs>1</Paragraphs>
  <TotalTime>10</TotalTime>
  <ScaleCrop>false</ScaleCrop>
  <LinksUpToDate>false</LinksUpToDate>
  <CharactersWithSpaces>860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2021-06-21T07:05:00Z</dcterms:created>
  <dc:creator>ln</dc:creator>
  <cp:lastModifiedBy>Administrator</cp:lastModifiedBy>
  <dcterms:modified xsi:type="dcterms:W3CDTF">2021-12-13T09:09:00Z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C6CA7015D208424C97278232F3E6AE75</vt:lpwstr>
  </property>
</Properties>
</file>